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F8B" w:rsidRDefault="004A1F8B" w:rsidP="004A1F8B">
      <w:pPr>
        <w:pStyle w:val="Body"/>
        <w:jc w:val="center"/>
        <w:rPr>
          <w:b/>
          <w:bCs/>
          <w:sz w:val="24"/>
          <w:szCs w:val="24"/>
        </w:rPr>
      </w:pPr>
      <w:r>
        <w:rPr>
          <w:b/>
          <w:bCs/>
          <w:sz w:val="24"/>
          <w:szCs w:val="24"/>
          <w:lang w:val="en-US"/>
        </w:rPr>
        <w:t>Glasgow East Arts Company Limited</w:t>
      </w:r>
    </w:p>
    <w:p w:rsidR="004A1F8B" w:rsidRDefault="004A1F8B" w:rsidP="004A1F8B">
      <w:pPr>
        <w:pStyle w:val="Body"/>
        <w:jc w:val="center"/>
        <w:rPr>
          <w:b/>
          <w:bCs/>
          <w:sz w:val="24"/>
          <w:szCs w:val="24"/>
        </w:rPr>
      </w:pPr>
    </w:p>
    <w:p w:rsidR="004A1F8B" w:rsidRDefault="004A1F8B" w:rsidP="004A1F8B">
      <w:pPr>
        <w:pStyle w:val="Body"/>
        <w:jc w:val="center"/>
        <w:rPr>
          <w:rFonts w:ascii="Arial Bold" w:eastAsia="Arial Bold" w:hAnsi="Arial Bold" w:cs="Arial Bold"/>
          <w:sz w:val="24"/>
          <w:szCs w:val="24"/>
        </w:rPr>
      </w:pPr>
      <w:r>
        <w:rPr>
          <w:rFonts w:ascii="Arial Bold"/>
          <w:sz w:val="24"/>
          <w:szCs w:val="24"/>
          <w:lang w:val="en-US"/>
        </w:rPr>
        <w:t>Recruitment Pack</w:t>
      </w:r>
    </w:p>
    <w:p w:rsidR="004A1F8B" w:rsidRDefault="004A1F8B" w:rsidP="004A1F8B">
      <w:pPr>
        <w:pStyle w:val="Body"/>
        <w:jc w:val="center"/>
        <w:rPr>
          <w:rFonts w:ascii="Arial Bold" w:eastAsia="Arial Bold" w:hAnsi="Arial Bold" w:cs="Arial Bold"/>
          <w:sz w:val="24"/>
          <w:szCs w:val="24"/>
        </w:rPr>
      </w:pPr>
    </w:p>
    <w:p w:rsidR="004A1F8B" w:rsidRDefault="004A1F8B" w:rsidP="004A1F8B">
      <w:pPr>
        <w:pStyle w:val="Body"/>
        <w:jc w:val="center"/>
        <w:rPr>
          <w:rFonts w:ascii="Arial Bold" w:eastAsia="Arial Bold" w:hAnsi="Arial Bold" w:cs="Arial Bold"/>
          <w:sz w:val="24"/>
          <w:szCs w:val="24"/>
        </w:rPr>
      </w:pPr>
      <w:r>
        <w:rPr>
          <w:rFonts w:ascii="Arial Bold"/>
          <w:sz w:val="24"/>
          <w:szCs w:val="24"/>
          <w:lang w:val="en-US"/>
        </w:rPr>
        <w:t>Community Organiser, Thriving Places</w:t>
      </w:r>
    </w:p>
    <w:p w:rsidR="004A1F8B" w:rsidRDefault="004A1F8B" w:rsidP="004A1F8B">
      <w:pPr>
        <w:pStyle w:val="Body"/>
        <w:rPr>
          <w:rFonts w:ascii="Arial Bold" w:eastAsia="Arial Bold" w:hAnsi="Arial Bold" w:cs="Arial Bold"/>
          <w:sz w:val="24"/>
          <w:szCs w:val="24"/>
        </w:rPr>
      </w:pPr>
    </w:p>
    <w:p w:rsidR="004A1F8B" w:rsidRDefault="004A1F8B" w:rsidP="004A1F8B">
      <w:pPr>
        <w:pStyle w:val="Body"/>
        <w:jc w:val="center"/>
        <w:rPr>
          <w:rFonts w:ascii="Arial Bold" w:eastAsia="Arial Bold" w:hAnsi="Arial Bold" w:cs="Arial Bold"/>
          <w:sz w:val="24"/>
          <w:szCs w:val="24"/>
        </w:rPr>
      </w:pPr>
      <w:r>
        <w:rPr>
          <w:rFonts w:ascii="Arial Bold" w:eastAsia="Arial Bold" w:hAnsi="Arial Bold" w:cs="Arial Bold"/>
          <w:sz w:val="24"/>
          <w:szCs w:val="24"/>
        </w:rPr>
        <w:t>JOB ADVERT</w:t>
      </w:r>
    </w:p>
    <w:p w:rsidR="004A1F8B" w:rsidRDefault="004A1F8B" w:rsidP="004A1F8B">
      <w:pPr>
        <w:pStyle w:val="Body"/>
        <w:rPr>
          <w:rFonts w:ascii="Arial Bold" w:eastAsia="Arial Bold" w:hAnsi="Arial Bold" w:cs="Arial Bold"/>
          <w:sz w:val="24"/>
          <w:szCs w:val="24"/>
        </w:rPr>
      </w:pPr>
    </w:p>
    <w:p w:rsidR="004A1F8B" w:rsidRDefault="004A1F8B" w:rsidP="004A1F8B">
      <w:pPr>
        <w:pStyle w:val="Body"/>
        <w:spacing w:after="160" w:line="259" w:lineRule="auto"/>
        <w:rPr>
          <w:sz w:val="24"/>
          <w:szCs w:val="24"/>
        </w:rPr>
      </w:pPr>
      <w:r>
        <w:rPr>
          <w:sz w:val="24"/>
          <w:szCs w:val="24"/>
          <w:lang w:val="en-US"/>
        </w:rPr>
        <w:t xml:space="preserve">Platform, the thriving arts centre at the heart of the award-winning Bridge complex in Easterhouse </w:t>
      </w:r>
      <w:r>
        <w:rPr>
          <w:sz w:val="24"/>
          <w:szCs w:val="24"/>
        </w:rPr>
        <w:t>is</w:t>
      </w:r>
      <w:r>
        <w:rPr>
          <w:sz w:val="24"/>
          <w:szCs w:val="24"/>
          <w:lang w:val="en-US"/>
        </w:rPr>
        <w:t xml:space="preserve"> now recruiting for a Community Organiser for the Thriving Places Initiative.</w:t>
      </w:r>
    </w:p>
    <w:p w:rsidR="004A1F8B" w:rsidRDefault="004A1F8B" w:rsidP="004A1F8B">
      <w:pPr>
        <w:pStyle w:val="Body"/>
        <w:spacing w:after="160" w:line="259" w:lineRule="auto"/>
        <w:rPr>
          <w:sz w:val="24"/>
          <w:szCs w:val="24"/>
        </w:rPr>
      </w:pPr>
      <w:r>
        <w:rPr>
          <w:sz w:val="24"/>
          <w:szCs w:val="24"/>
          <w:lang w:val="en-US"/>
        </w:rPr>
        <w:t>Platform is run by Glasgow East Arts Company (GEAC) and on behalf of the Thriving Places Steering Group, GEAC seeks a dynamic community professional to lead the delivery of this important initiative as it rolls out across Easterhouse in</w:t>
      </w:r>
      <w:r>
        <w:rPr>
          <w:sz w:val="24"/>
          <w:szCs w:val="24"/>
        </w:rPr>
        <w:t xml:space="preserve"> 2016/17.</w:t>
      </w:r>
    </w:p>
    <w:p w:rsidR="004A1F8B" w:rsidRDefault="004A1F8B" w:rsidP="004A1F8B">
      <w:pPr>
        <w:pStyle w:val="Default"/>
        <w:rPr>
          <w:rFonts w:ascii="Arial" w:eastAsia="Arial" w:hAnsi="Arial" w:cs="Arial"/>
        </w:rPr>
      </w:pPr>
      <w:r>
        <w:rPr>
          <w:rFonts w:ascii="Arial"/>
          <w:b/>
          <w:bCs/>
        </w:rPr>
        <w:t xml:space="preserve">Community Organiser, Thriving Places Initiative </w:t>
      </w:r>
    </w:p>
    <w:p w:rsidR="004A1F8B" w:rsidRDefault="004A1F8B" w:rsidP="004A1F8B">
      <w:pPr>
        <w:pStyle w:val="Default"/>
        <w:rPr>
          <w:rFonts w:ascii="Arial Bold" w:eastAsia="Arial Bold" w:hAnsi="Arial Bold" w:cs="Arial Bold"/>
        </w:rPr>
      </w:pPr>
      <w:r>
        <w:rPr>
          <w:rFonts w:ascii="Arial"/>
          <w:b/>
          <w:bCs/>
        </w:rPr>
        <w:t xml:space="preserve">35 hours per week </w:t>
      </w:r>
      <w:r>
        <w:rPr>
          <w:rFonts w:hAnsi="Arial"/>
          <w:b/>
          <w:bCs/>
        </w:rPr>
        <w:t>£</w:t>
      </w:r>
      <w:r>
        <w:rPr>
          <w:rFonts w:ascii="Arial"/>
          <w:b/>
          <w:bCs/>
        </w:rPr>
        <w:t xml:space="preserve">30K per annum, </w:t>
      </w:r>
      <w:r>
        <w:rPr>
          <w:rFonts w:ascii="Arial Bold"/>
        </w:rPr>
        <w:t xml:space="preserve">fixed term to 31 March 2018 with potential to extend depending on funding </w:t>
      </w:r>
    </w:p>
    <w:p w:rsidR="004A1F8B" w:rsidRDefault="004A1F8B" w:rsidP="004A1F8B">
      <w:pPr>
        <w:pStyle w:val="Body"/>
        <w:rPr>
          <w:rFonts w:ascii="Arial Bold" w:eastAsia="Arial Bold" w:hAnsi="Arial Bold" w:cs="Arial Bold"/>
          <w:sz w:val="24"/>
          <w:szCs w:val="24"/>
        </w:rPr>
      </w:pPr>
    </w:p>
    <w:p w:rsidR="004A1F8B" w:rsidRDefault="004A1F8B" w:rsidP="004A1F8B">
      <w:pPr>
        <w:pStyle w:val="Body"/>
        <w:rPr>
          <w:sz w:val="24"/>
          <w:szCs w:val="24"/>
        </w:rPr>
      </w:pPr>
      <w:r>
        <w:rPr>
          <w:sz w:val="24"/>
          <w:szCs w:val="24"/>
          <w:lang w:val="en-US"/>
        </w:rPr>
        <w:t xml:space="preserve">The post holder will work directly with local residents to support their involvement in the Thriving Places Initiative to identify, articulate and fulfil the aspirations that they have for themselves and their community. The post holder will play a key role in building confidence and maximising community capacity to improve local skills alongside supporting resilience and strengthening the community voice. </w:t>
      </w:r>
    </w:p>
    <w:p w:rsidR="004A1F8B" w:rsidRDefault="004A1F8B" w:rsidP="004A1F8B">
      <w:pPr>
        <w:pStyle w:val="Body"/>
        <w:rPr>
          <w:sz w:val="24"/>
          <w:szCs w:val="24"/>
        </w:rPr>
      </w:pPr>
    </w:p>
    <w:p w:rsidR="004A1F8B" w:rsidRDefault="004A1F8B" w:rsidP="004A1F8B">
      <w:pPr>
        <w:pStyle w:val="Body"/>
        <w:rPr>
          <w:sz w:val="24"/>
          <w:szCs w:val="24"/>
        </w:rPr>
      </w:pPr>
      <w:r>
        <w:rPr>
          <w:sz w:val="24"/>
          <w:szCs w:val="24"/>
          <w:lang w:val="en-US"/>
        </w:rPr>
        <w:t>Candidates should have a proven track record of working directly with local people, be able to evidence partnership working and demonstrate experience of supporting capacity building.</w:t>
      </w:r>
    </w:p>
    <w:p w:rsidR="004A1F8B" w:rsidRDefault="004A1F8B" w:rsidP="004A1F8B">
      <w:pPr>
        <w:pStyle w:val="Default"/>
        <w:rPr>
          <w:rFonts w:ascii="Arial" w:eastAsia="Arial" w:hAnsi="Arial" w:cs="Arial"/>
        </w:rPr>
      </w:pPr>
    </w:p>
    <w:p w:rsidR="004A1F8B" w:rsidRDefault="004A1F8B" w:rsidP="004A1F8B">
      <w:pPr>
        <w:pStyle w:val="Default"/>
        <w:rPr>
          <w:rFonts w:ascii="Arial" w:eastAsia="Arial" w:hAnsi="Arial" w:cs="Arial"/>
        </w:rPr>
      </w:pPr>
      <w:r>
        <w:rPr>
          <w:rFonts w:ascii="Arial"/>
        </w:rPr>
        <w:t>Check www.platform-online.co.uk</w:t>
      </w:r>
      <w:r>
        <w:rPr>
          <w:rFonts w:ascii="Arial"/>
          <w:b/>
          <w:bCs/>
        </w:rPr>
        <w:t xml:space="preserve"> </w:t>
      </w:r>
      <w:r>
        <w:rPr>
          <w:rFonts w:ascii="Arial"/>
          <w:lang w:val="da-DK"/>
        </w:rPr>
        <w:t xml:space="preserve">for </w:t>
      </w:r>
      <w:r>
        <w:rPr>
          <w:rFonts w:ascii="Arial"/>
        </w:rPr>
        <w:t>further information and to download and</w:t>
      </w:r>
      <w:r>
        <w:rPr>
          <w:rFonts w:ascii="Arial"/>
          <w:lang w:val="fr-FR"/>
        </w:rPr>
        <w:t xml:space="preserve"> application pack</w:t>
      </w:r>
      <w:r>
        <w:rPr>
          <w:rFonts w:ascii="Arial"/>
        </w:rPr>
        <w:t xml:space="preserve">. Email jenny@platform-online.co.uk if you'd like to discuss the role further. </w:t>
      </w:r>
    </w:p>
    <w:p w:rsidR="004A1F8B" w:rsidRDefault="004A1F8B" w:rsidP="004A1F8B">
      <w:pPr>
        <w:pStyle w:val="Default"/>
        <w:rPr>
          <w:rFonts w:ascii="Arial" w:eastAsia="Arial" w:hAnsi="Arial" w:cs="Arial"/>
        </w:rPr>
      </w:pPr>
    </w:p>
    <w:p w:rsidR="004A1F8B" w:rsidRDefault="004A1F8B" w:rsidP="004A1F8B">
      <w:pPr>
        <w:pStyle w:val="Default"/>
        <w:rPr>
          <w:rFonts w:ascii="Arial"/>
        </w:rPr>
      </w:pPr>
      <w:r>
        <w:rPr>
          <w:rFonts w:ascii="Arial"/>
        </w:rPr>
        <w:t>Deadline for applications is noon on Wednesday 1 June 2016 with interviews planned for Tuesday 14 June 2016.</w:t>
      </w:r>
    </w:p>
    <w:p w:rsidR="004A1F8B" w:rsidRDefault="004A1F8B" w:rsidP="004A1F8B">
      <w:pPr>
        <w:pStyle w:val="Default"/>
        <w:rPr>
          <w:rFonts w:ascii="Arial" w:eastAsia="Arial" w:hAnsi="Arial" w:cs="Arial"/>
        </w:rPr>
      </w:pPr>
    </w:p>
    <w:p w:rsidR="004A1F8B" w:rsidRDefault="004A1F8B" w:rsidP="004A1F8B">
      <w:pPr>
        <w:pStyle w:val="Default"/>
        <w:rPr>
          <w:rFonts w:ascii="Arial" w:eastAsia="Arial" w:hAnsi="Arial" w:cs="Arial"/>
        </w:rPr>
      </w:pPr>
    </w:p>
    <w:p w:rsidR="004A1F8B" w:rsidRDefault="004A1F8B" w:rsidP="004A1F8B">
      <w:pPr>
        <w:rPr>
          <w:rFonts w:ascii="Arial" w:eastAsia="Calibri" w:hAnsi="Arial" w:cs="Arial"/>
          <w:noProof/>
          <w:sz w:val="16"/>
          <w:szCs w:val="16"/>
          <w:lang w:eastAsia="en-GB"/>
        </w:rPr>
      </w:pPr>
    </w:p>
    <w:p w:rsidR="004A1F8B" w:rsidRDefault="004A1F8B" w:rsidP="004A1F8B">
      <w:pPr>
        <w:rPr>
          <w:rFonts w:ascii="Arial" w:eastAsia="Calibri" w:hAnsi="Arial" w:cs="Arial"/>
          <w:noProof/>
          <w:sz w:val="16"/>
          <w:szCs w:val="16"/>
          <w:lang w:eastAsia="en-GB"/>
        </w:rPr>
      </w:pPr>
      <w:r>
        <w:rPr>
          <w:rFonts w:ascii="Arial" w:hAnsi="Arial" w:cs="Arial"/>
          <w:noProof/>
          <w:color w:val="1F497D"/>
          <w:lang w:val="en-GB" w:eastAsia="en-GB"/>
        </w:rPr>
        <w:drawing>
          <wp:inline distT="0" distB="0" distL="0" distR="0" wp14:anchorId="6345F49A" wp14:editId="0DC5989B">
            <wp:extent cx="1362075" cy="1306395"/>
            <wp:effectExtent l="0" t="0" r="0" b="8255"/>
            <wp:docPr id="5" name="Picture 5" descr="cid:image003.jpg@01D1A543.CFDDD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1A543.CFDDDA7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406102" cy="1348622"/>
                    </a:xfrm>
                    <a:prstGeom prst="rect">
                      <a:avLst/>
                    </a:prstGeom>
                    <a:noFill/>
                    <a:ln>
                      <a:noFill/>
                    </a:ln>
                  </pic:spPr>
                </pic:pic>
              </a:graphicData>
            </a:graphic>
          </wp:inline>
        </w:drawing>
      </w:r>
      <w:r>
        <w:rPr>
          <w:rFonts w:ascii="Arial" w:eastAsia="Calibri" w:hAnsi="Arial" w:cs="Arial"/>
          <w:noProof/>
          <w:sz w:val="16"/>
          <w:szCs w:val="16"/>
          <w:lang w:eastAsia="en-GB"/>
        </w:rPr>
        <w:t xml:space="preserve">               </w:t>
      </w:r>
      <w:r w:rsidRPr="00D63434">
        <w:rPr>
          <w:rFonts w:ascii="Arial" w:eastAsia="Calibri" w:hAnsi="Arial" w:cs="Arial"/>
          <w:noProof/>
          <w:sz w:val="16"/>
          <w:szCs w:val="16"/>
          <w:lang w:val="en-GB" w:eastAsia="en-GB"/>
        </w:rPr>
        <w:drawing>
          <wp:inline distT="0" distB="0" distL="0" distR="0" wp14:anchorId="707C31EC" wp14:editId="67940CBD">
            <wp:extent cx="828675" cy="1357829"/>
            <wp:effectExtent l="0" t="0" r="0" b="0"/>
            <wp:docPr id="6" name="Picture 6" descr="N:\data\Logos\GCC\20mmMarkStroke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ata\Logos\GCC\20mmMarkStrokeCMY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0345" cy="1360565"/>
                    </a:xfrm>
                    <a:prstGeom prst="rect">
                      <a:avLst/>
                    </a:prstGeom>
                    <a:noFill/>
                    <a:ln>
                      <a:noFill/>
                    </a:ln>
                  </pic:spPr>
                </pic:pic>
              </a:graphicData>
            </a:graphic>
          </wp:inline>
        </w:drawing>
      </w:r>
      <w:r w:rsidR="00CC7B6A">
        <w:rPr>
          <w:rFonts w:ascii="Arial" w:eastAsia="Calibri" w:hAnsi="Arial" w:cs="Arial"/>
          <w:noProof/>
          <w:sz w:val="16"/>
          <w:szCs w:val="16"/>
          <w:lang w:eastAsia="en-GB"/>
        </w:rPr>
        <w:tab/>
        <w:t xml:space="preserve">     </w:t>
      </w:r>
      <w:r w:rsidR="00CC7B6A" w:rsidRPr="00CC7B6A">
        <w:rPr>
          <w:rFonts w:ascii="Arial" w:eastAsia="Calibri" w:hAnsi="Arial" w:cs="Arial"/>
          <w:noProof/>
          <w:sz w:val="16"/>
          <w:szCs w:val="16"/>
          <w:lang w:val="en-GB" w:eastAsia="en-GB"/>
        </w:rPr>
        <w:drawing>
          <wp:inline distT="0" distB="0" distL="0" distR="0">
            <wp:extent cx="2010640" cy="1307672"/>
            <wp:effectExtent l="0" t="0" r="8890" b="6985"/>
            <wp:docPr id="1" name="Picture 1" descr="C:\Users\ldingwall\Desktop\HSC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ingwall\Desktop\HSCP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3159" cy="1315814"/>
                    </a:xfrm>
                    <a:prstGeom prst="rect">
                      <a:avLst/>
                    </a:prstGeom>
                    <a:noFill/>
                    <a:ln>
                      <a:noFill/>
                    </a:ln>
                  </pic:spPr>
                </pic:pic>
              </a:graphicData>
            </a:graphic>
          </wp:inline>
        </w:drawing>
      </w:r>
    </w:p>
    <w:p w:rsidR="004A1F8B" w:rsidRDefault="004A1F8B" w:rsidP="004A1F8B">
      <w:pPr>
        <w:rPr>
          <w:rFonts w:ascii="Arial" w:eastAsia="Calibri" w:hAnsi="Arial" w:cs="Arial"/>
          <w:noProof/>
          <w:sz w:val="16"/>
          <w:szCs w:val="16"/>
          <w:lang w:eastAsia="en-GB"/>
        </w:rPr>
      </w:pPr>
    </w:p>
    <w:p w:rsidR="004A1F8B" w:rsidRDefault="004A1F8B" w:rsidP="004A1F8B">
      <w:pPr>
        <w:rPr>
          <w:rFonts w:ascii="Arial" w:eastAsia="Calibri" w:hAnsi="Arial" w:cs="Arial"/>
          <w:noProof/>
          <w:sz w:val="16"/>
          <w:szCs w:val="16"/>
          <w:lang w:eastAsia="en-GB"/>
        </w:rPr>
      </w:pPr>
      <w:r>
        <w:rPr>
          <w:rFonts w:ascii="Arial" w:eastAsia="Calibri" w:hAnsi="Arial" w:cs="Arial"/>
          <w:noProof/>
          <w:sz w:val="16"/>
          <w:szCs w:val="16"/>
          <w:lang w:eastAsia="en-GB"/>
        </w:rPr>
        <w:t>Platform is programmed and managed by Glasgow East Arts Company, registered Scottish Charity No SCO34201</w:t>
      </w:r>
    </w:p>
    <w:p w:rsidR="007841E1" w:rsidRPr="004A1F8B" w:rsidRDefault="00C5586E" w:rsidP="004A1F8B">
      <w:pPr>
        <w:jc w:val="center"/>
        <w:rPr>
          <w:rFonts w:eastAsia="Calibri"/>
          <w:noProof/>
          <w:lang w:eastAsia="en-GB"/>
        </w:rPr>
      </w:pPr>
      <w:r>
        <w:rPr>
          <w:rFonts w:ascii="Arial Bold"/>
          <w:sz w:val="22"/>
          <w:szCs w:val="22"/>
        </w:rPr>
        <w:lastRenderedPageBreak/>
        <w:t>Glasgow East Arts Company Limited</w:t>
      </w:r>
    </w:p>
    <w:p w:rsidR="007841E1" w:rsidRDefault="007841E1">
      <w:pPr>
        <w:pStyle w:val="BodyA"/>
        <w:jc w:val="center"/>
        <w:rPr>
          <w:rFonts w:ascii="Arial Bold" w:eastAsia="Arial Bold" w:hAnsi="Arial Bold" w:cs="Arial Bold"/>
          <w:sz w:val="22"/>
          <w:szCs w:val="22"/>
        </w:rPr>
      </w:pPr>
    </w:p>
    <w:p w:rsidR="007841E1" w:rsidRDefault="00C5586E">
      <w:pPr>
        <w:pStyle w:val="BodyA"/>
        <w:tabs>
          <w:tab w:val="center" w:pos="4590"/>
          <w:tab w:val="left" w:pos="6525"/>
        </w:tabs>
        <w:jc w:val="center"/>
        <w:rPr>
          <w:rFonts w:ascii="Arial Bold" w:eastAsia="Arial Bold" w:hAnsi="Arial Bold" w:cs="Arial Bold"/>
          <w:sz w:val="22"/>
          <w:szCs w:val="22"/>
        </w:rPr>
      </w:pPr>
      <w:r>
        <w:rPr>
          <w:rFonts w:ascii="Arial Bold"/>
          <w:sz w:val="22"/>
          <w:szCs w:val="22"/>
        </w:rPr>
        <w:t>JOB DESCRIPTION</w:t>
      </w:r>
    </w:p>
    <w:p w:rsidR="007841E1" w:rsidRDefault="007841E1">
      <w:pPr>
        <w:pStyle w:val="BodyA"/>
        <w:tabs>
          <w:tab w:val="center" w:pos="4590"/>
          <w:tab w:val="left" w:pos="6525"/>
        </w:tabs>
        <w:jc w:val="center"/>
        <w:rPr>
          <w:rFonts w:ascii="Arial Bold" w:eastAsia="Arial Bold" w:hAnsi="Arial Bold" w:cs="Arial Bold"/>
          <w:sz w:val="22"/>
          <w:szCs w:val="22"/>
        </w:rPr>
      </w:pPr>
    </w:p>
    <w:p w:rsidR="007841E1" w:rsidRDefault="00C5586E">
      <w:pPr>
        <w:pStyle w:val="BodyA"/>
        <w:tabs>
          <w:tab w:val="center" w:pos="4590"/>
          <w:tab w:val="left" w:pos="6525"/>
        </w:tabs>
        <w:jc w:val="center"/>
        <w:rPr>
          <w:rFonts w:ascii="Arial Bold" w:eastAsia="Arial Bold" w:hAnsi="Arial Bold" w:cs="Arial Bold"/>
          <w:sz w:val="22"/>
          <w:szCs w:val="22"/>
        </w:rPr>
      </w:pPr>
      <w:r>
        <w:rPr>
          <w:rFonts w:ascii="Arial Bold"/>
          <w:sz w:val="22"/>
          <w:szCs w:val="22"/>
        </w:rPr>
        <w:t>Community Organiser, Thriving Places Initiative</w:t>
      </w:r>
    </w:p>
    <w:p w:rsidR="007841E1" w:rsidRDefault="007841E1">
      <w:pPr>
        <w:pStyle w:val="BodyA"/>
        <w:tabs>
          <w:tab w:val="center" w:pos="4590"/>
          <w:tab w:val="left" w:pos="6525"/>
        </w:tabs>
        <w:jc w:val="center"/>
        <w:rPr>
          <w:rFonts w:ascii="Arial Bold" w:eastAsia="Arial Bold" w:hAnsi="Arial Bold" w:cs="Arial Bold"/>
          <w:sz w:val="22"/>
          <w:szCs w:val="22"/>
        </w:rPr>
      </w:pPr>
    </w:p>
    <w:p w:rsidR="007841E1" w:rsidRDefault="007841E1">
      <w:pPr>
        <w:pStyle w:val="BodyA"/>
        <w:tabs>
          <w:tab w:val="center" w:pos="3728"/>
        </w:tabs>
        <w:jc w:val="both"/>
        <w:rPr>
          <w:rFonts w:ascii="Arial Bold" w:eastAsia="Arial Bold" w:hAnsi="Arial Bold" w:cs="Arial Bold"/>
          <w:sz w:val="22"/>
          <w:szCs w:val="22"/>
        </w:rPr>
      </w:pPr>
    </w:p>
    <w:p w:rsidR="007841E1" w:rsidRDefault="00C5586E">
      <w:pPr>
        <w:pStyle w:val="BodyA"/>
        <w:tabs>
          <w:tab w:val="center" w:pos="3728"/>
        </w:tabs>
        <w:jc w:val="both"/>
        <w:rPr>
          <w:rFonts w:ascii="Arial" w:eastAsia="Arial" w:hAnsi="Arial" w:cs="Arial"/>
          <w:sz w:val="22"/>
          <w:szCs w:val="22"/>
        </w:rPr>
      </w:pPr>
      <w:r>
        <w:rPr>
          <w:rFonts w:ascii="Arial"/>
          <w:b/>
          <w:bCs/>
          <w:sz w:val="22"/>
          <w:szCs w:val="22"/>
        </w:rPr>
        <w:t>POST</w:t>
      </w:r>
      <w:r>
        <w:rPr>
          <w:rFonts w:ascii="Arial"/>
          <w:sz w:val="22"/>
          <w:szCs w:val="22"/>
        </w:rPr>
        <w:t>: Community Organiser, Thriving Places Initiati</w:t>
      </w:r>
      <w:r w:rsidR="003B0C84">
        <w:rPr>
          <w:rFonts w:ascii="Arial"/>
          <w:sz w:val="22"/>
          <w:szCs w:val="22"/>
        </w:rPr>
        <w:t>ve, fixed term to 31 March 2018</w:t>
      </w:r>
    </w:p>
    <w:p w:rsidR="007841E1" w:rsidRDefault="007841E1">
      <w:pPr>
        <w:pStyle w:val="BodyA"/>
        <w:jc w:val="both"/>
        <w:rPr>
          <w:rFonts w:ascii="Arial" w:eastAsia="Arial" w:hAnsi="Arial" w:cs="Arial"/>
          <w:sz w:val="22"/>
          <w:szCs w:val="22"/>
        </w:rPr>
      </w:pPr>
    </w:p>
    <w:p w:rsidR="007841E1" w:rsidRDefault="00C5586E">
      <w:pPr>
        <w:pStyle w:val="BodyA"/>
        <w:jc w:val="both"/>
        <w:rPr>
          <w:rFonts w:ascii="Arial" w:eastAsia="Arial" w:hAnsi="Arial" w:cs="Arial"/>
          <w:sz w:val="22"/>
          <w:szCs w:val="22"/>
        </w:rPr>
      </w:pPr>
      <w:r>
        <w:rPr>
          <w:rFonts w:ascii="Arial"/>
          <w:b/>
          <w:bCs/>
          <w:sz w:val="22"/>
          <w:szCs w:val="22"/>
        </w:rPr>
        <w:t>HOURS</w:t>
      </w:r>
      <w:r>
        <w:rPr>
          <w:rFonts w:ascii="Arial"/>
          <w:sz w:val="22"/>
          <w:szCs w:val="22"/>
        </w:rPr>
        <w:t>: 35 hours per week, with evening and weekend work</w:t>
      </w:r>
    </w:p>
    <w:p w:rsidR="007841E1" w:rsidRDefault="007841E1">
      <w:pPr>
        <w:pStyle w:val="BodyA"/>
        <w:jc w:val="both"/>
        <w:rPr>
          <w:rFonts w:ascii="Arial" w:eastAsia="Arial" w:hAnsi="Arial" w:cs="Arial"/>
          <w:sz w:val="22"/>
          <w:szCs w:val="22"/>
        </w:rPr>
      </w:pPr>
    </w:p>
    <w:p w:rsidR="007841E1" w:rsidRDefault="00C5586E">
      <w:pPr>
        <w:pStyle w:val="BodyA"/>
        <w:jc w:val="both"/>
        <w:rPr>
          <w:rFonts w:ascii="Arial" w:eastAsia="Arial" w:hAnsi="Arial" w:cs="Arial"/>
          <w:sz w:val="22"/>
          <w:szCs w:val="22"/>
        </w:rPr>
      </w:pPr>
      <w:r>
        <w:rPr>
          <w:rFonts w:ascii="Arial"/>
          <w:b/>
          <w:bCs/>
          <w:sz w:val="22"/>
          <w:szCs w:val="22"/>
        </w:rPr>
        <w:t>SALARY</w:t>
      </w:r>
      <w:r>
        <w:rPr>
          <w:rFonts w:ascii="Arial"/>
          <w:sz w:val="22"/>
          <w:szCs w:val="22"/>
        </w:rPr>
        <w:t xml:space="preserve">: </w:t>
      </w:r>
      <w:r>
        <w:rPr>
          <w:rFonts w:hAnsi="Arial"/>
          <w:sz w:val="22"/>
          <w:szCs w:val="22"/>
        </w:rPr>
        <w:t>£</w:t>
      </w:r>
      <w:r>
        <w:rPr>
          <w:rFonts w:ascii="Arial"/>
          <w:sz w:val="22"/>
          <w:szCs w:val="22"/>
        </w:rPr>
        <w:t>30,000 per annum and company pension scheme</w:t>
      </w:r>
    </w:p>
    <w:p w:rsidR="007841E1" w:rsidRDefault="007841E1">
      <w:pPr>
        <w:pStyle w:val="BodyA"/>
        <w:jc w:val="both"/>
        <w:rPr>
          <w:rFonts w:ascii="Arial" w:eastAsia="Arial" w:hAnsi="Arial" w:cs="Arial"/>
          <w:sz w:val="22"/>
          <w:szCs w:val="22"/>
        </w:rPr>
      </w:pPr>
    </w:p>
    <w:p w:rsidR="007841E1" w:rsidRDefault="00C5586E">
      <w:pPr>
        <w:pStyle w:val="BodyA"/>
        <w:jc w:val="both"/>
        <w:rPr>
          <w:rFonts w:ascii="Arial"/>
          <w:sz w:val="22"/>
          <w:szCs w:val="22"/>
          <w:u w:color="FF0000"/>
        </w:rPr>
      </w:pPr>
      <w:r>
        <w:rPr>
          <w:rFonts w:ascii="Arial"/>
          <w:b/>
          <w:bCs/>
          <w:sz w:val="22"/>
          <w:szCs w:val="22"/>
        </w:rPr>
        <w:t>REPORTS TO</w:t>
      </w:r>
      <w:r>
        <w:rPr>
          <w:rFonts w:ascii="Arial"/>
          <w:sz w:val="22"/>
          <w:szCs w:val="22"/>
        </w:rPr>
        <w:t xml:space="preserve">: </w:t>
      </w:r>
      <w:r>
        <w:rPr>
          <w:rFonts w:ascii="Arial"/>
          <w:sz w:val="22"/>
          <w:szCs w:val="22"/>
          <w:u w:color="FF0000"/>
        </w:rPr>
        <w:t>Arts Manager</w:t>
      </w:r>
    </w:p>
    <w:p w:rsidR="0070024A" w:rsidRDefault="0070024A">
      <w:pPr>
        <w:pStyle w:val="BodyA"/>
        <w:jc w:val="both"/>
        <w:rPr>
          <w:rFonts w:ascii="Arial"/>
          <w:sz w:val="22"/>
          <w:szCs w:val="22"/>
          <w:u w:color="FF0000"/>
        </w:rPr>
      </w:pPr>
    </w:p>
    <w:p w:rsidR="0070024A" w:rsidRPr="0070024A" w:rsidRDefault="0070024A">
      <w:pPr>
        <w:pStyle w:val="BodyA"/>
        <w:jc w:val="both"/>
        <w:rPr>
          <w:rFonts w:ascii="Arial" w:eastAsia="Arial" w:hAnsi="Arial" w:cs="Arial"/>
          <w:sz w:val="22"/>
          <w:szCs w:val="22"/>
        </w:rPr>
      </w:pPr>
      <w:r w:rsidRPr="0070024A">
        <w:rPr>
          <w:rFonts w:ascii="Arial"/>
          <w:b/>
          <w:sz w:val="22"/>
          <w:szCs w:val="22"/>
          <w:u w:color="FF0000"/>
        </w:rPr>
        <w:t>DEADLINE:</w:t>
      </w:r>
      <w:r>
        <w:rPr>
          <w:rFonts w:ascii="Arial"/>
          <w:sz w:val="22"/>
          <w:szCs w:val="22"/>
          <w:u w:color="FF0000"/>
        </w:rPr>
        <w:t xml:space="preserve"> </w:t>
      </w:r>
      <w:r w:rsidRPr="0070024A">
        <w:rPr>
          <w:rFonts w:ascii="Arial" w:eastAsia="Trebuchet MS Bold" w:hAnsi="Arial" w:cs="Arial"/>
        </w:rPr>
        <w:t>12 noon on Wednesday 1 June 2016</w:t>
      </w:r>
    </w:p>
    <w:p w:rsidR="007841E1" w:rsidRDefault="007841E1">
      <w:pPr>
        <w:pStyle w:val="BodyA"/>
        <w:jc w:val="both"/>
        <w:rPr>
          <w:rFonts w:ascii="Arial" w:eastAsia="Arial" w:hAnsi="Arial" w:cs="Arial"/>
          <w:sz w:val="22"/>
          <w:szCs w:val="22"/>
        </w:rPr>
      </w:pPr>
    </w:p>
    <w:p w:rsidR="007841E1" w:rsidRDefault="00C5586E">
      <w:pPr>
        <w:pStyle w:val="BodyA"/>
        <w:jc w:val="both"/>
        <w:rPr>
          <w:rFonts w:ascii="Arial Bold" w:eastAsia="Arial Bold" w:hAnsi="Arial Bold" w:cs="Arial Bold"/>
          <w:sz w:val="22"/>
          <w:szCs w:val="22"/>
        </w:rPr>
      </w:pPr>
      <w:r>
        <w:rPr>
          <w:rFonts w:ascii="Arial"/>
          <w:sz w:val="22"/>
          <w:szCs w:val="22"/>
        </w:rPr>
        <w:t>This post is subject to disclosure.</w:t>
      </w:r>
    </w:p>
    <w:p w:rsidR="007841E1" w:rsidRDefault="007841E1">
      <w:pPr>
        <w:pStyle w:val="Body"/>
        <w:rPr>
          <w:rFonts w:ascii="Arial Bold" w:eastAsia="Arial Bold" w:hAnsi="Arial Bold" w:cs="Arial Bold"/>
          <w:sz w:val="22"/>
          <w:szCs w:val="22"/>
        </w:rPr>
      </w:pPr>
    </w:p>
    <w:p w:rsidR="007841E1" w:rsidRDefault="00C5586E">
      <w:pPr>
        <w:pStyle w:val="Body"/>
        <w:rPr>
          <w:rFonts w:ascii="Arial Bold" w:eastAsia="Arial Bold" w:hAnsi="Arial Bold" w:cs="Arial Bold"/>
          <w:sz w:val="22"/>
          <w:szCs w:val="22"/>
        </w:rPr>
      </w:pPr>
      <w:r>
        <w:rPr>
          <w:rFonts w:ascii="Arial Bold"/>
          <w:sz w:val="22"/>
          <w:szCs w:val="22"/>
          <w:lang w:val="sv-SE"/>
        </w:rPr>
        <w:t>Job Summary</w:t>
      </w:r>
    </w:p>
    <w:p w:rsidR="007841E1" w:rsidRDefault="007841E1">
      <w:pPr>
        <w:pStyle w:val="Body"/>
        <w:rPr>
          <w:sz w:val="22"/>
          <w:szCs w:val="22"/>
        </w:rPr>
      </w:pPr>
    </w:p>
    <w:p w:rsidR="007841E1" w:rsidRDefault="00C5586E">
      <w:pPr>
        <w:pStyle w:val="Body"/>
        <w:rPr>
          <w:sz w:val="22"/>
          <w:szCs w:val="22"/>
        </w:rPr>
      </w:pPr>
      <w:r>
        <w:rPr>
          <w:sz w:val="22"/>
          <w:szCs w:val="22"/>
          <w:lang w:val="en-US"/>
        </w:rPr>
        <w:t>The Glasgow Community Planning Partnership (GCPP) brings together a range of organisations to work collectively to improve the quality of life in the city. The priorities of the Partnership are set out in Glasgow</w:t>
      </w:r>
      <w:r>
        <w:rPr>
          <w:rFonts w:ascii="Arial Unicode MS" w:hAnsi="Arial"/>
          <w:sz w:val="22"/>
          <w:szCs w:val="22"/>
          <w:lang w:val="fr-FR"/>
        </w:rPr>
        <w:t>’</w:t>
      </w:r>
      <w:r>
        <w:rPr>
          <w:sz w:val="22"/>
          <w:szCs w:val="22"/>
          <w:lang w:val="en-US"/>
        </w:rPr>
        <w:t xml:space="preserve">s Single Outcome Agreement.  These are; alcohol, youth employment, vulnerable people and, its place based priority of </w:t>
      </w:r>
      <w:r>
        <w:rPr>
          <w:rFonts w:hAnsi="Arial Bold"/>
          <w:sz w:val="22"/>
          <w:szCs w:val="22"/>
        </w:rPr>
        <w:t>‘</w:t>
      </w:r>
      <w:r>
        <w:rPr>
          <w:rFonts w:ascii="Arial Bold"/>
          <w:sz w:val="22"/>
          <w:szCs w:val="22"/>
          <w:lang w:val="en-US"/>
        </w:rPr>
        <w:t>Thriving Places</w:t>
      </w:r>
      <w:r>
        <w:rPr>
          <w:rFonts w:hAnsi="Arial Bold"/>
          <w:sz w:val="22"/>
          <w:szCs w:val="22"/>
          <w:lang w:val="fr-FR"/>
        </w:rPr>
        <w:t>’</w:t>
      </w:r>
      <w:r>
        <w:rPr>
          <w:sz w:val="22"/>
          <w:szCs w:val="22"/>
        </w:rPr>
        <w:t>.</w:t>
      </w:r>
    </w:p>
    <w:p w:rsidR="007841E1" w:rsidRDefault="007841E1">
      <w:pPr>
        <w:pStyle w:val="Body"/>
        <w:rPr>
          <w:sz w:val="22"/>
          <w:szCs w:val="22"/>
        </w:rPr>
      </w:pPr>
    </w:p>
    <w:p w:rsidR="007841E1" w:rsidRDefault="00C5586E">
      <w:pPr>
        <w:pStyle w:val="Body"/>
        <w:rPr>
          <w:sz w:val="22"/>
          <w:szCs w:val="22"/>
        </w:rPr>
      </w:pPr>
      <w:r>
        <w:rPr>
          <w:sz w:val="22"/>
          <w:szCs w:val="22"/>
          <w:lang w:val="en-US"/>
        </w:rPr>
        <w:t>Thriving Places recognises that there are communities in the city for whom inequalities continue to exist, where local residents have not benefitted from the improvements achieved elsewhere.  GCPP seeks to accelerate better outcomes for these communities by adopting a new way of working to make better use of existing resources and assets.</w:t>
      </w:r>
    </w:p>
    <w:p w:rsidR="007841E1" w:rsidRDefault="007841E1">
      <w:pPr>
        <w:pStyle w:val="Body"/>
        <w:rPr>
          <w:sz w:val="22"/>
          <w:szCs w:val="22"/>
        </w:rPr>
      </w:pPr>
    </w:p>
    <w:p w:rsidR="007841E1" w:rsidRDefault="00C5586E">
      <w:pPr>
        <w:pStyle w:val="Body"/>
        <w:rPr>
          <w:sz w:val="22"/>
          <w:szCs w:val="22"/>
        </w:rPr>
      </w:pPr>
      <w:r>
        <w:rPr>
          <w:sz w:val="22"/>
          <w:szCs w:val="22"/>
          <w:lang w:val="en-US"/>
        </w:rPr>
        <w:t>Central to this approach is the involvement of local people.  This post has been established to ensure appropriate support for residents within the Thriving Places area to engage in this process. The post holder is hosted and line managed by Glasgow East Arts Company and reports to the Thriving Places Steering Group.</w:t>
      </w:r>
    </w:p>
    <w:p w:rsidR="007841E1" w:rsidRDefault="007841E1">
      <w:pPr>
        <w:pStyle w:val="Body"/>
        <w:jc w:val="both"/>
        <w:rPr>
          <w:sz w:val="22"/>
          <w:szCs w:val="22"/>
        </w:rPr>
      </w:pPr>
    </w:p>
    <w:p w:rsidR="007841E1" w:rsidRDefault="00C5586E">
      <w:pPr>
        <w:pStyle w:val="Body"/>
        <w:jc w:val="both"/>
        <w:rPr>
          <w:b/>
          <w:bCs/>
          <w:sz w:val="22"/>
          <w:szCs w:val="22"/>
        </w:rPr>
      </w:pPr>
      <w:r>
        <w:rPr>
          <w:b/>
          <w:bCs/>
          <w:sz w:val="22"/>
          <w:szCs w:val="22"/>
          <w:lang w:val="en-US"/>
        </w:rPr>
        <w:t>Job Purpose</w:t>
      </w:r>
    </w:p>
    <w:p w:rsidR="007841E1" w:rsidRDefault="007841E1">
      <w:pPr>
        <w:pStyle w:val="Body"/>
        <w:jc w:val="both"/>
        <w:rPr>
          <w:sz w:val="22"/>
          <w:szCs w:val="22"/>
        </w:rPr>
      </w:pPr>
    </w:p>
    <w:p w:rsidR="007841E1" w:rsidRDefault="00C5586E">
      <w:pPr>
        <w:pStyle w:val="Body"/>
        <w:jc w:val="both"/>
        <w:rPr>
          <w:sz w:val="22"/>
          <w:szCs w:val="22"/>
        </w:rPr>
      </w:pPr>
      <w:r>
        <w:rPr>
          <w:sz w:val="22"/>
          <w:szCs w:val="22"/>
          <w:lang w:val="en-US"/>
        </w:rPr>
        <w:t xml:space="preserve">The Community Organiser will build relationships with residents of Easterhouse to ensure a positive impact for local people through the Thriving Place initiative.  </w:t>
      </w:r>
    </w:p>
    <w:p w:rsidR="007841E1" w:rsidRDefault="007841E1">
      <w:pPr>
        <w:pStyle w:val="Body"/>
        <w:jc w:val="both"/>
        <w:rPr>
          <w:sz w:val="22"/>
          <w:szCs w:val="22"/>
        </w:rPr>
      </w:pPr>
    </w:p>
    <w:p w:rsidR="007841E1" w:rsidRDefault="00C5586E">
      <w:pPr>
        <w:pStyle w:val="Body"/>
        <w:jc w:val="both"/>
        <w:rPr>
          <w:sz w:val="22"/>
          <w:szCs w:val="22"/>
        </w:rPr>
      </w:pPr>
      <w:r>
        <w:rPr>
          <w:sz w:val="22"/>
          <w:szCs w:val="22"/>
          <w:lang w:val="en-US"/>
        </w:rPr>
        <w:t>The post holder will support residents to identify, articulate and fulfil the aspirations that they have for both themselves and their community.</w:t>
      </w:r>
    </w:p>
    <w:p w:rsidR="007841E1" w:rsidRDefault="007841E1">
      <w:pPr>
        <w:pStyle w:val="Body"/>
        <w:jc w:val="both"/>
        <w:rPr>
          <w:sz w:val="22"/>
          <w:szCs w:val="22"/>
        </w:rPr>
      </w:pPr>
    </w:p>
    <w:p w:rsidR="007841E1" w:rsidRDefault="00C5586E">
      <w:pPr>
        <w:pStyle w:val="Body"/>
        <w:jc w:val="both"/>
        <w:rPr>
          <w:sz w:val="22"/>
          <w:szCs w:val="22"/>
        </w:rPr>
      </w:pPr>
      <w:r>
        <w:rPr>
          <w:sz w:val="22"/>
          <w:szCs w:val="22"/>
          <w:lang w:val="en-US"/>
        </w:rPr>
        <w:t>The post holder will support the community to influence the delivery of local services.</w:t>
      </w:r>
    </w:p>
    <w:p w:rsidR="007841E1" w:rsidRDefault="007841E1">
      <w:pPr>
        <w:pStyle w:val="Body"/>
        <w:jc w:val="both"/>
        <w:rPr>
          <w:sz w:val="22"/>
          <w:szCs w:val="22"/>
        </w:rPr>
      </w:pPr>
    </w:p>
    <w:p w:rsidR="007841E1" w:rsidRDefault="00C5586E">
      <w:pPr>
        <w:pStyle w:val="Body"/>
        <w:jc w:val="both"/>
        <w:rPr>
          <w:sz w:val="22"/>
          <w:szCs w:val="22"/>
        </w:rPr>
      </w:pPr>
      <w:r>
        <w:rPr>
          <w:sz w:val="22"/>
          <w:szCs w:val="22"/>
          <w:lang w:val="en-US"/>
        </w:rPr>
        <w:t>The Community Organiser will play a key role in building confidence, maximising community capacity to improve local skills, supporting resilience and strengthening the community voice.</w:t>
      </w:r>
    </w:p>
    <w:p w:rsidR="007841E1" w:rsidRDefault="007841E1">
      <w:pPr>
        <w:pStyle w:val="Body"/>
        <w:jc w:val="both"/>
        <w:rPr>
          <w:sz w:val="22"/>
          <w:szCs w:val="22"/>
        </w:rPr>
      </w:pPr>
    </w:p>
    <w:p w:rsidR="00A00B33" w:rsidRDefault="00C5586E" w:rsidP="003B0C84">
      <w:pPr>
        <w:pStyle w:val="Body"/>
        <w:jc w:val="both"/>
        <w:rPr>
          <w:rFonts w:ascii="Arial Bold" w:eastAsia="Arial Bold" w:hAnsi="Arial Bold" w:cs="Arial Bold"/>
          <w:sz w:val="22"/>
          <w:szCs w:val="22"/>
        </w:rPr>
      </w:pPr>
      <w:r>
        <w:rPr>
          <w:sz w:val="22"/>
          <w:szCs w:val="22"/>
          <w:lang w:val="en-US"/>
        </w:rPr>
        <w:t>The post holder will be an active participant of the Easterhouse Thriving Places Group, working directly to the Group but employed by Glasgow East Arts Company.</w:t>
      </w:r>
    </w:p>
    <w:p w:rsidR="007841E1" w:rsidRPr="003B0C84" w:rsidRDefault="003B7F1F" w:rsidP="003B0C84">
      <w:pPr>
        <w:pStyle w:val="Body"/>
        <w:jc w:val="both"/>
        <w:rPr>
          <w:rFonts w:ascii="Arial Bold" w:eastAsia="Arial Bold" w:hAnsi="Arial Bold" w:cs="Arial Bold"/>
          <w:sz w:val="22"/>
          <w:szCs w:val="22"/>
        </w:rPr>
      </w:pPr>
      <w:r>
        <w:rPr>
          <w:rFonts w:ascii="Arial Bold"/>
          <w:color w:val="auto"/>
          <w:sz w:val="22"/>
          <w:szCs w:val="22"/>
          <w:lang w:val="en-US"/>
        </w:rPr>
        <w:lastRenderedPageBreak/>
        <w:t>Key Tasks</w:t>
      </w:r>
    </w:p>
    <w:p w:rsidR="007841E1" w:rsidRDefault="007841E1">
      <w:pPr>
        <w:pStyle w:val="Body"/>
        <w:rPr>
          <w:rFonts w:ascii="Arial Bold" w:eastAsia="Arial Bold" w:hAnsi="Arial Bold" w:cs="Arial Bold"/>
          <w:sz w:val="22"/>
          <w:szCs w:val="22"/>
        </w:rPr>
      </w:pPr>
    </w:p>
    <w:p w:rsidR="007841E1" w:rsidRDefault="00C5586E">
      <w:pPr>
        <w:pStyle w:val="Body"/>
        <w:rPr>
          <w:sz w:val="22"/>
          <w:szCs w:val="22"/>
          <w:lang w:val="en-US"/>
        </w:rPr>
      </w:pPr>
      <w:r>
        <w:rPr>
          <w:sz w:val="22"/>
          <w:szCs w:val="22"/>
          <w:lang w:val="en-US"/>
        </w:rPr>
        <w:t>Details of the main activities and responsibilities of the post:</w:t>
      </w:r>
    </w:p>
    <w:p w:rsidR="007841E1" w:rsidRDefault="007841E1">
      <w:pPr>
        <w:pStyle w:val="Body"/>
        <w:rPr>
          <w:sz w:val="22"/>
          <w:szCs w:val="22"/>
        </w:rPr>
      </w:pPr>
    </w:p>
    <w:p w:rsidR="007841E1" w:rsidRDefault="00C5586E" w:rsidP="003B7F1F">
      <w:pPr>
        <w:pStyle w:val="ListParagraph"/>
        <w:numPr>
          <w:ilvl w:val="0"/>
          <w:numId w:val="87"/>
        </w:numPr>
        <w:rPr>
          <w:rFonts w:ascii="Arial" w:eastAsia="Arial" w:hAnsi="Arial" w:cs="Arial"/>
        </w:rPr>
      </w:pPr>
      <w:r>
        <w:rPr>
          <w:rFonts w:ascii="Arial"/>
        </w:rPr>
        <w:t>engage with the community and partner agencies to support a new vision for Easterhouse;</w:t>
      </w:r>
    </w:p>
    <w:p w:rsidR="007841E1" w:rsidRDefault="00C5586E" w:rsidP="003B7F1F">
      <w:pPr>
        <w:pStyle w:val="ListParagraph"/>
        <w:numPr>
          <w:ilvl w:val="0"/>
          <w:numId w:val="87"/>
        </w:numPr>
        <w:rPr>
          <w:rFonts w:ascii="Arial" w:eastAsia="Arial" w:hAnsi="Arial" w:cs="Arial"/>
        </w:rPr>
      </w:pPr>
      <w:r>
        <w:rPr>
          <w:rFonts w:ascii="Arial"/>
        </w:rPr>
        <w:t>work with local people to identify and bring together skills, experience and resources, with support from local groups and organisations;</w:t>
      </w:r>
    </w:p>
    <w:p w:rsidR="007841E1" w:rsidRDefault="00C5586E" w:rsidP="003B7F1F">
      <w:pPr>
        <w:pStyle w:val="ListParagraph"/>
        <w:numPr>
          <w:ilvl w:val="0"/>
          <w:numId w:val="87"/>
        </w:numPr>
        <w:rPr>
          <w:rFonts w:ascii="Arial" w:eastAsia="Arial" w:hAnsi="Arial" w:cs="Arial"/>
        </w:rPr>
      </w:pPr>
      <w:r>
        <w:rPr>
          <w:rFonts w:ascii="Arial"/>
        </w:rPr>
        <w:t>build relationships with the community to support existing groups, networks and organisations and to develop the aspirations of local people;</w:t>
      </w:r>
    </w:p>
    <w:p w:rsidR="007841E1" w:rsidRDefault="00C5586E" w:rsidP="003B7F1F">
      <w:pPr>
        <w:pStyle w:val="ListParagraph"/>
        <w:numPr>
          <w:ilvl w:val="0"/>
          <w:numId w:val="87"/>
        </w:numPr>
        <w:rPr>
          <w:rFonts w:ascii="Arial" w:eastAsia="Arial" w:hAnsi="Arial" w:cs="Arial"/>
        </w:rPr>
      </w:pPr>
      <w:r>
        <w:rPr>
          <w:rFonts w:ascii="Arial"/>
        </w:rPr>
        <w:t>support existing, and develop new community activity to build local capacity;</w:t>
      </w:r>
    </w:p>
    <w:p w:rsidR="007841E1" w:rsidRDefault="00C5586E" w:rsidP="003B7F1F">
      <w:pPr>
        <w:pStyle w:val="ListParagraph"/>
        <w:numPr>
          <w:ilvl w:val="0"/>
          <w:numId w:val="87"/>
        </w:numPr>
        <w:rPr>
          <w:rFonts w:ascii="Arial" w:eastAsia="Arial" w:hAnsi="Arial" w:cs="Arial"/>
        </w:rPr>
      </w:pPr>
      <w:r>
        <w:rPr>
          <w:rFonts w:ascii="Arial"/>
        </w:rPr>
        <w:t>facilitate connections across communities and cultures;</w:t>
      </w:r>
    </w:p>
    <w:p w:rsidR="007841E1" w:rsidRDefault="00C5586E" w:rsidP="003B7F1F">
      <w:pPr>
        <w:pStyle w:val="ListParagraph"/>
        <w:numPr>
          <w:ilvl w:val="0"/>
          <w:numId w:val="87"/>
        </w:numPr>
        <w:rPr>
          <w:rFonts w:ascii="Arial" w:eastAsia="Arial" w:hAnsi="Arial" w:cs="Arial"/>
        </w:rPr>
      </w:pPr>
      <w:r>
        <w:rPr>
          <w:rFonts w:ascii="Arial"/>
        </w:rPr>
        <w:t>build strategic relationships with partner organisations to help deliver on community-driven action;</w:t>
      </w:r>
    </w:p>
    <w:p w:rsidR="007841E1" w:rsidRDefault="00C5586E" w:rsidP="003B7F1F">
      <w:pPr>
        <w:pStyle w:val="ListParagraph"/>
        <w:numPr>
          <w:ilvl w:val="0"/>
          <w:numId w:val="87"/>
        </w:numPr>
        <w:rPr>
          <w:rFonts w:ascii="Arial" w:eastAsia="Arial" w:hAnsi="Arial" w:cs="Arial"/>
        </w:rPr>
      </w:pPr>
      <w:r>
        <w:rPr>
          <w:rFonts w:ascii="Arial"/>
        </w:rPr>
        <w:t>identify funding opportunities and lead consortia bids;</w:t>
      </w:r>
    </w:p>
    <w:p w:rsidR="007841E1" w:rsidRDefault="00C5586E" w:rsidP="003B7F1F">
      <w:pPr>
        <w:pStyle w:val="ListParagraph"/>
        <w:numPr>
          <w:ilvl w:val="0"/>
          <w:numId w:val="87"/>
        </w:numPr>
        <w:rPr>
          <w:rFonts w:ascii="Arial" w:eastAsia="Arial" w:hAnsi="Arial" w:cs="Arial"/>
        </w:rPr>
      </w:pPr>
      <w:r>
        <w:rPr>
          <w:rFonts w:ascii="Arial"/>
        </w:rPr>
        <w:t>participate in the relevant Thriving Places Groups;</w:t>
      </w:r>
    </w:p>
    <w:p w:rsidR="007841E1" w:rsidRDefault="00C5586E" w:rsidP="003B7F1F">
      <w:pPr>
        <w:pStyle w:val="ListParagraph"/>
        <w:numPr>
          <w:ilvl w:val="0"/>
          <w:numId w:val="87"/>
        </w:numPr>
        <w:rPr>
          <w:rFonts w:ascii="Arial" w:eastAsia="Arial" w:hAnsi="Arial" w:cs="Arial"/>
        </w:rPr>
      </w:pPr>
      <w:r>
        <w:rPr>
          <w:rFonts w:ascii="Arial"/>
        </w:rPr>
        <w:t>identify and overcome barriers to involvement, particularly for disadvantaged or marginalised groups;</w:t>
      </w:r>
    </w:p>
    <w:p w:rsidR="007841E1" w:rsidRDefault="00C5586E" w:rsidP="003B7F1F">
      <w:pPr>
        <w:pStyle w:val="ListParagraph"/>
        <w:numPr>
          <w:ilvl w:val="0"/>
          <w:numId w:val="87"/>
        </w:numPr>
        <w:rPr>
          <w:rFonts w:ascii="Arial" w:eastAsia="Arial" w:hAnsi="Arial" w:cs="Arial"/>
        </w:rPr>
      </w:pPr>
      <w:r>
        <w:rPr>
          <w:rFonts w:ascii="Arial"/>
        </w:rPr>
        <w:t>devise appropriate systems to record activities undertaken, monitor progress and provide written reports to the Thriving Places Group; and</w:t>
      </w:r>
    </w:p>
    <w:p w:rsidR="007841E1" w:rsidRPr="00CA5A8B" w:rsidRDefault="00C5586E" w:rsidP="003B7F1F">
      <w:pPr>
        <w:pStyle w:val="ListParagraph"/>
        <w:numPr>
          <w:ilvl w:val="0"/>
          <w:numId w:val="87"/>
        </w:numPr>
        <w:spacing w:after="160" w:line="259" w:lineRule="auto"/>
        <w:rPr>
          <w:rFonts w:ascii="Trebuchet MS Bold" w:eastAsia="Trebuchet MS Bold" w:hAnsi="Trebuchet MS Bold" w:cs="Trebuchet MS Bold"/>
        </w:rPr>
      </w:pPr>
      <w:r>
        <w:rPr>
          <w:rFonts w:ascii="Arial"/>
        </w:rPr>
        <w:t>be up to date on health and safety in the workplace.</w:t>
      </w:r>
    </w:p>
    <w:p w:rsidR="00CA5A8B" w:rsidRDefault="00CA5A8B" w:rsidP="00CA5A8B">
      <w:pPr>
        <w:spacing w:after="160" w:line="259" w:lineRule="auto"/>
        <w:rPr>
          <w:rFonts w:ascii="Trebuchet MS Bold" w:eastAsia="Trebuchet MS Bold" w:hAnsi="Trebuchet MS Bold" w:cs="Trebuchet MS Bold"/>
        </w:rPr>
      </w:pPr>
    </w:p>
    <w:p w:rsidR="00195F29" w:rsidRDefault="00195F29" w:rsidP="00CA5A8B">
      <w:pPr>
        <w:spacing w:after="160" w:line="259" w:lineRule="auto"/>
        <w:rPr>
          <w:rFonts w:ascii="Trebuchet MS Bold" w:eastAsia="Trebuchet MS Bold" w:hAnsi="Trebuchet MS Bold" w:cs="Trebuchet MS Bold"/>
        </w:rPr>
      </w:pPr>
    </w:p>
    <w:p w:rsidR="00195F29" w:rsidRDefault="00195F29" w:rsidP="00CA5A8B">
      <w:pPr>
        <w:spacing w:after="160" w:line="259" w:lineRule="auto"/>
        <w:rPr>
          <w:rFonts w:ascii="Trebuchet MS Bold" w:eastAsia="Trebuchet MS Bold" w:hAnsi="Trebuchet MS Bold" w:cs="Trebuchet MS Bold"/>
        </w:rPr>
      </w:pPr>
    </w:p>
    <w:p w:rsidR="00CA5A8B" w:rsidRDefault="00CA5A8B" w:rsidP="00CA5A8B">
      <w:pPr>
        <w:spacing w:line="259" w:lineRule="auto"/>
        <w:rPr>
          <w:rFonts w:ascii="Arial" w:eastAsia="Trebuchet MS Bold" w:hAnsi="Arial" w:cs="Arial"/>
          <w:b/>
          <w:sz w:val="22"/>
          <w:szCs w:val="22"/>
        </w:rPr>
      </w:pPr>
    </w:p>
    <w:p w:rsidR="00195F29" w:rsidRDefault="00195F29" w:rsidP="00195F29">
      <w:pPr>
        <w:rPr>
          <w:rFonts w:ascii="Arial" w:eastAsia="Calibri" w:hAnsi="Arial" w:cs="Arial"/>
          <w:noProof/>
          <w:sz w:val="16"/>
          <w:szCs w:val="16"/>
          <w:lang w:eastAsia="en-GB"/>
        </w:rPr>
      </w:pPr>
    </w:p>
    <w:p w:rsidR="00195F29" w:rsidRDefault="00195F29" w:rsidP="00195F29">
      <w:pPr>
        <w:rPr>
          <w:rFonts w:ascii="Arial" w:eastAsia="Calibri" w:hAnsi="Arial" w:cs="Arial"/>
          <w:noProof/>
          <w:sz w:val="16"/>
          <w:szCs w:val="16"/>
          <w:lang w:eastAsia="en-GB"/>
        </w:rPr>
      </w:pPr>
      <w:r>
        <w:rPr>
          <w:rFonts w:ascii="Arial" w:hAnsi="Arial" w:cs="Arial"/>
          <w:noProof/>
          <w:color w:val="1F497D"/>
          <w:lang w:val="en-GB" w:eastAsia="en-GB"/>
        </w:rPr>
        <w:drawing>
          <wp:inline distT="0" distB="0" distL="0" distR="0" wp14:anchorId="46CEFA7F" wp14:editId="0D6CC1B1">
            <wp:extent cx="1362075" cy="1306395"/>
            <wp:effectExtent l="0" t="0" r="0" b="8255"/>
            <wp:docPr id="8" name="Picture 8" descr="cid:image003.jpg@01D1A543.CFDDD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1A543.CFDDDA7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406102" cy="1348622"/>
                    </a:xfrm>
                    <a:prstGeom prst="rect">
                      <a:avLst/>
                    </a:prstGeom>
                    <a:noFill/>
                    <a:ln>
                      <a:noFill/>
                    </a:ln>
                  </pic:spPr>
                </pic:pic>
              </a:graphicData>
            </a:graphic>
          </wp:inline>
        </w:drawing>
      </w:r>
      <w:r>
        <w:rPr>
          <w:rFonts w:ascii="Arial" w:eastAsia="Calibri" w:hAnsi="Arial" w:cs="Arial"/>
          <w:noProof/>
          <w:sz w:val="16"/>
          <w:szCs w:val="16"/>
          <w:lang w:eastAsia="en-GB"/>
        </w:rPr>
        <w:t xml:space="preserve">               </w:t>
      </w:r>
      <w:r w:rsidRPr="00D63434">
        <w:rPr>
          <w:rFonts w:ascii="Arial" w:eastAsia="Calibri" w:hAnsi="Arial" w:cs="Arial"/>
          <w:noProof/>
          <w:sz w:val="16"/>
          <w:szCs w:val="16"/>
          <w:lang w:val="en-GB" w:eastAsia="en-GB"/>
        </w:rPr>
        <w:drawing>
          <wp:inline distT="0" distB="0" distL="0" distR="0" wp14:anchorId="204F57D4" wp14:editId="1EE92028">
            <wp:extent cx="828675" cy="1357829"/>
            <wp:effectExtent l="0" t="0" r="0" b="0"/>
            <wp:docPr id="9" name="Picture 9" descr="N:\data\Logos\GCC\20mmMarkStroke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ata\Logos\GCC\20mmMarkStrokeCMY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0345" cy="1360565"/>
                    </a:xfrm>
                    <a:prstGeom prst="rect">
                      <a:avLst/>
                    </a:prstGeom>
                    <a:noFill/>
                    <a:ln>
                      <a:noFill/>
                    </a:ln>
                  </pic:spPr>
                </pic:pic>
              </a:graphicData>
            </a:graphic>
          </wp:inline>
        </w:drawing>
      </w:r>
      <w:r w:rsidR="00477472">
        <w:rPr>
          <w:rFonts w:ascii="Arial" w:eastAsia="Calibri" w:hAnsi="Arial" w:cs="Arial"/>
          <w:noProof/>
          <w:sz w:val="16"/>
          <w:szCs w:val="16"/>
          <w:lang w:eastAsia="en-GB"/>
        </w:rPr>
        <w:tab/>
        <w:t xml:space="preserve">     </w:t>
      </w:r>
      <w:bookmarkStart w:id="0" w:name="_GoBack"/>
      <w:bookmarkEnd w:id="0"/>
      <w:r w:rsidR="00477472">
        <w:rPr>
          <w:rFonts w:ascii="Arial" w:eastAsia="Calibri" w:hAnsi="Arial" w:cs="Arial"/>
          <w:noProof/>
          <w:sz w:val="16"/>
          <w:szCs w:val="16"/>
          <w:lang w:eastAsia="en-GB"/>
        </w:rPr>
        <w:t xml:space="preserve"> </w:t>
      </w:r>
      <w:r w:rsidR="00477472" w:rsidRPr="00CC7B6A">
        <w:rPr>
          <w:rFonts w:ascii="Arial" w:eastAsia="Calibri" w:hAnsi="Arial" w:cs="Arial"/>
          <w:noProof/>
          <w:sz w:val="16"/>
          <w:szCs w:val="16"/>
          <w:lang w:val="en-GB" w:eastAsia="en-GB"/>
        </w:rPr>
        <w:drawing>
          <wp:inline distT="0" distB="0" distL="0" distR="0" wp14:anchorId="12507BE0" wp14:editId="34ACFA72">
            <wp:extent cx="2010640" cy="1307672"/>
            <wp:effectExtent l="0" t="0" r="8890" b="6985"/>
            <wp:docPr id="2" name="Picture 2" descr="C:\Users\ldingwall\Desktop\HSC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ingwall\Desktop\HSCP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3159" cy="1315814"/>
                    </a:xfrm>
                    <a:prstGeom prst="rect">
                      <a:avLst/>
                    </a:prstGeom>
                    <a:noFill/>
                    <a:ln>
                      <a:noFill/>
                    </a:ln>
                  </pic:spPr>
                </pic:pic>
              </a:graphicData>
            </a:graphic>
          </wp:inline>
        </w:drawing>
      </w:r>
    </w:p>
    <w:p w:rsidR="00195F29" w:rsidRDefault="00195F29" w:rsidP="00195F29">
      <w:pPr>
        <w:rPr>
          <w:rFonts w:ascii="Arial" w:eastAsia="Calibri" w:hAnsi="Arial" w:cs="Arial"/>
          <w:noProof/>
          <w:sz w:val="16"/>
          <w:szCs w:val="16"/>
          <w:lang w:eastAsia="en-GB"/>
        </w:rPr>
      </w:pPr>
    </w:p>
    <w:p w:rsidR="00195F29" w:rsidRDefault="00195F29" w:rsidP="00195F29">
      <w:pPr>
        <w:rPr>
          <w:rFonts w:eastAsia="Calibri"/>
          <w:noProof/>
          <w:lang w:eastAsia="en-GB"/>
        </w:rPr>
      </w:pPr>
      <w:r>
        <w:rPr>
          <w:rFonts w:ascii="Arial" w:eastAsia="Calibri" w:hAnsi="Arial" w:cs="Arial"/>
          <w:noProof/>
          <w:sz w:val="16"/>
          <w:szCs w:val="16"/>
          <w:lang w:eastAsia="en-GB"/>
        </w:rPr>
        <w:t>Platform is programmed and managed by Glasgow East Arts Company, registered Scottish Charity No SCO34201</w:t>
      </w:r>
    </w:p>
    <w:p w:rsidR="00A00B33" w:rsidRDefault="00A00B33" w:rsidP="00CA5A8B">
      <w:pPr>
        <w:spacing w:line="259" w:lineRule="auto"/>
        <w:rPr>
          <w:rFonts w:ascii="Arial Bold" w:eastAsia="Arial Bold" w:hAnsi="Arial Bold" w:cs="Arial Bold"/>
          <w:color w:val="D17E14"/>
        </w:rPr>
      </w:pPr>
    </w:p>
    <w:p w:rsidR="00A00B33" w:rsidRDefault="00A00B33" w:rsidP="00CA5A8B">
      <w:pPr>
        <w:spacing w:line="259" w:lineRule="auto"/>
        <w:rPr>
          <w:rFonts w:ascii="Arial Bold" w:eastAsia="Arial Bold" w:hAnsi="Arial Bold" w:cs="Arial Bold"/>
          <w:color w:val="D17E14"/>
        </w:rPr>
      </w:pPr>
    </w:p>
    <w:p w:rsidR="00CA5A8B" w:rsidRPr="0036024C" w:rsidRDefault="00CA5A8B" w:rsidP="00CA5A8B">
      <w:pPr>
        <w:spacing w:line="259" w:lineRule="auto"/>
        <w:rPr>
          <w:rFonts w:ascii="Arial" w:eastAsia="Trebuchet MS Bold" w:hAnsi="Arial" w:cs="Arial"/>
          <w:b/>
        </w:rPr>
      </w:pPr>
      <w:r w:rsidRPr="0036024C">
        <w:rPr>
          <w:rFonts w:ascii="Arial" w:eastAsia="Trebuchet MS Bold" w:hAnsi="Arial" w:cs="Arial"/>
          <w:b/>
        </w:rPr>
        <w:lastRenderedPageBreak/>
        <w:t>Application Process</w:t>
      </w:r>
    </w:p>
    <w:p w:rsidR="00CA5A8B" w:rsidRPr="0036024C" w:rsidRDefault="00CA5A8B" w:rsidP="00CA5A8B">
      <w:pPr>
        <w:spacing w:line="259" w:lineRule="auto"/>
        <w:rPr>
          <w:rFonts w:ascii="Arial" w:eastAsia="Trebuchet MS Bold" w:hAnsi="Arial" w:cs="Arial"/>
          <w:b/>
        </w:rPr>
      </w:pPr>
      <w:r w:rsidRPr="0036024C">
        <w:rPr>
          <w:rFonts w:ascii="MS Gothic" w:eastAsia="MS Gothic" w:hAnsi="MS Gothic" w:cs="MS Gothic" w:hint="eastAsia"/>
          <w:b/>
        </w:rPr>
        <w:t>  </w:t>
      </w:r>
    </w:p>
    <w:p w:rsidR="00CA5A8B" w:rsidRPr="0036024C" w:rsidRDefault="00CA5A8B" w:rsidP="00CA5A8B">
      <w:pPr>
        <w:spacing w:line="259" w:lineRule="auto"/>
        <w:rPr>
          <w:rFonts w:ascii="MS Gothic" w:eastAsia="MS Gothic" w:hAnsi="MS Gothic" w:cs="MS Gothic"/>
        </w:rPr>
      </w:pPr>
      <w:r w:rsidRPr="0036024C">
        <w:rPr>
          <w:rFonts w:ascii="Arial" w:eastAsia="Trebuchet MS Bold" w:hAnsi="Arial" w:cs="Arial"/>
        </w:rPr>
        <w:t xml:space="preserve">To apply for the post please </w:t>
      </w:r>
      <w:r w:rsidR="00195F29" w:rsidRPr="0036024C">
        <w:rPr>
          <w:rFonts w:ascii="Arial" w:eastAsia="Trebuchet MS Bold" w:hAnsi="Arial" w:cs="Arial"/>
        </w:rPr>
        <w:t>complete</w:t>
      </w:r>
      <w:r w:rsidR="00BC3AFD" w:rsidRPr="0036024C">
        <w:rPr>
          <w:rFonts w:ascii="Arial" w:eastAsia="Trebuchet MS Bold" w:hAnsi="Arial" w:cs="Arial"/>
        </w:rPr>
        <w:t xml:space="preserve"> and send us</w:t>
      </w:r>
      <w:r w:rsidRPr="0036024C">
        <w:rPr>
          <w:rFonts w:ascii="Arial" w:eastAsia="Trebuchet MS Bold" w:hAnsi="Arial" w:cs="Arial"/>
        </w:rPr>
        <w:t xml:space="preserve"> the following:</w:t>
      </w:r>
    </w:p>
    <w:p w:rsidR="00CA5A8B" w:rsidRPr="0036024C" w:rsidRDefault="00CA5A8B" w:rsidP="00CA5A8B">
      <w:pPr>
        <w:spacing w:line="259" w:lineRule="auto"/>
        <w:rPr>
          <w:rFonts w:ascii="MS Gothic" w:eastAsia="MS Gothic" w:hAnsi="MS Gothic" w:cs="MS Gothic"/>
        </w:rPr>
      </w:pPr>
    </w:p>
    <w:p w:rsidR="00CA5A8B" w:rsidRPr="0036024C" w:rsidRDefault="00CA5A8B" w:rsidP="00CA5A8B">
      <w:pPr>
        <w:pStyle w:val="ListParagraph"/>
        <w:numPr>
          <w:ilvl w:val="0"/>
          <w:numId w:val="88"/>
        </w:numPr>
        <w:spacing w:after="0" w:line="259" w:lineRule="auto"/>
        <w:rPr>
          <w:rFonts w:ascii="MS Gothic" w:eastAsia="MS Gothic" w:hAnsi="MS Gothic" w:cs="MS Gothic"/>
          <w:sz w:val="24"/>
          <w:szCs w:val="24"/>
        </w:rPr>
      </w:pPr>
      <w:r w:rsidRPr="0036024C">
        <w:rPr>
          <w:rFonts w:ascii="Arial" w:eastAsia="Trebuchet MS Bold" w:hAnsi="Arial" w:cs="Arial"/>
          <w:sz w:val="24"/>
          <w:szCs w:val="24"/>
        </w:rPr>
        <w:t>a cover letter outlining why you are attracted to the role and why you feel you are suited to the post. Please ensure that you make reference to the job desc</w:t>
      </w:r>
      <w:r w:rsidR="00195F29" w:rsidRPr="0036024C">
        <w:rPr>
          <w:rFonts w:ascii="Arial" w:eastAsia="Trebuchet MS Bold" w:hAnsi="Arial" w:cs="Arial"/>
          <w:sz w:val="24"/>
          <w:szCs w:val="24"/>
        </w:rPr>
        <w:t>ription and required experience</w:t>
      </w:r>
      <w:r w:rsidRPr="0036024C">
        <w:rPr>
          <w:rFonts w:ascii="Arial" w:eastAsia="Trebuchet MS Bold" w:hAnsi="Arial" w:cs="Arial"/>
          <w:sz w:val="24"/>
          <w:szCs w:val="24"/>
        </w:rPr>
        <w:t xml:space="preserve">. </w:t>
      </w:r>
      <w:r w:rsidRPr="0036024C">
        <w:rPr>
          <w:rFonts w:ascii="MS Gothic" w:eastAsia="MS Gothic" w:hAnsi="MS Gothic" w:cs="MS Gothic" w:hint="eastAsia"/>
          <w:sz w:val="24"/>
          <w:szCs w:val="24"/>
        </w:rPr>
        <w:t>  </w:t>
      </w:r>
    </w:p>
    <w:p w:rsidR="00CA5A8B" w:rsidRPr="0036024C" w:rsidRDefault="00CA5A8B" w:rsidP="00CA5A8B">
      <w:pPr>
        <w:spacing w:line="259" w:lineRule="auto"/>
        <w:rPr>
          <w:rFonts w:ascii="Arial" w:eastAsia="Trebuchet MS Bold" w:hAnsi="Arial" w:cs="Arial"/>
        </w:rPr>
      </w:pPr>
    </w:p>
    <w:p w:rsidR="00195F29" w:rsidRPr="0036024C" w:rsidRDefault="00CA5A8B" w:rsidP="00CA5A8B">
      <w:pPr>
        <w:pStyle w:val="ListParagraph"/>
        <w:numPr>
          <w:ilvl w:val="0"/>
          <w:numId w:val="88"/>
        </w:numPr>
        <w:spacing w:after="0" w:line="259" w:lineRule="auto"/>
        <w:rPr>
          <w:rFonts w:ascii="Arial" w:eastAsia="Trebuchet MS Bold" w:hAnsi="Arial" w:cs="Arial"/>
          <w:sz w:val="24"/>
          <w:szCs w:val="24"/>
        </w:rPr>
      </w:pPr>
      <w:r w:rsidRPr="0036024C">
        <w:rPr>
          <w:rFonts w:ascii="Arial" w:eastAsia="Trebuchet MS Bold" w:hAnsi="Arial" w:cs="Arial"/>
          <w:sz w:val="24"/>
          <w:szCs w:val="24"/>
        </w:rPr>
        <w:t>a current CV.</w:t>
      </w:r>
      <w:r w:rsidRPr="0036024C">
        <w:rPr>
          <w:rFonts w:ascii="MS Gothic" w:eastAsia="MS Gothic" w:hAnsi="MS Gothic" w:cs="MS Gothic" w:hint="eastAsia"/>
          <w:sz w:val="24"/>
          <w:szCs w:val="24"/>
        </w:rPr>
        <w:t>  </w:t>
      </w:r>
    </w:p>
    <w:p w:rsidR="00195F29" w:rsidRPr="0036024C" w:rsidRDefault="00195F29" w:rsidP="00195F29">
      <w:pPr>
        <w:pStyle w:val="ListParagraph"/>
        <w:rPr>
          <w:rFonts w:ascii="Arial" w:eastAsia="Trebuchet MS Bold" w:hAnsi="Arial" w:cs="Arial"/>
          <w:sz w:val="24"/>
          <w:szCs w:val="24"/>
        </w:rPr>
      </w:pPr>
    </w:p>
    <w:p w:rsidR="00CA5A8B" w:rsidRPr="0036024C" w:rsidRDefault="00CA5A8B" w:rsidP="00195F29">
      <w:pPr>
        <w:pStyle w:val="ListParagraph"/>
        <w:spacing w:after="0" w:line="259" w:lineRule="auto"/>
        <w:ind w:left="1080"/>
        <w:rPr>
          <w:rFonts w:ascii="Arial" w:eastAsia="Trebuchet MS Bold" w:hAnsi="Arial" w:cs="Arial"/>
          <w:sz w:val="24"/>
          <w:szCs w:val="24"/>
        </w:rPr>
      </w:pPr>
      <w:r w:rsidRPr="0036024C">
        <w:rPr>
          <w:rFonts w:ascii="Arial" w:eastAsia="Trebuchet MS Bold" w:hAnsi="Arial" w:cs="Arial"/>
          <w:sz w:val="24"/>
          <w:szCs w:val="24"/>
        </w:rPr>
        <w:t xml:space="preserve">Please send your </w:t>
      </w:r>
      <w:r w:rsidR="00195F29" w:rsidRPr="0036024C">
        <w:rPr>
          <w:rFonts w:ascii="Arial" w:eastAsia="Trebuchet MS Bold" w:hAnsi="Arial" w:cs="Arial"/>
          <w:sz w:val="24"/>
          <w:szCs w:val="24"/>
        </w:rPr>
        <w:t xml:space="preserve">cover letter </w:t>
      </w:r>
      <w:r w:rsidRPr="0036024C">
        <w:rPr>
          <w:rFonts w:ascii="Arial" w:eastAsia="Trebuchet MS Bold" w:hAnsi="Arial" w:cs="Arial"/>
          <w:sz w:val="24"/>
          <w:szCs w:val="24"/>
        </w:rPr>
        <w:t>and CV via one of the following methods:</w:t>
      </w:r>
      <w:r w:rsidRPr="0036024C">
        <w:rPr>
          <w:rFonts w:ascii="MS Gothic" w:eastAsia="MS Gothic" w:hAnsi="MS Gothic" w:cs="MS Gothic" w:hint="eastAsia"/>
          <w:sz w:val="24"/>
          <w:szCs w:val="24"/>
        </w:rPr>
        <w:t>  </w:t>
      </w:r>
    </w:p>
    <w:p w:rsidR="00CA5A8B" w:rsidRPr="0036024C" w:rsidRDefault="00CA5A8B" w:rsidP="00CA5A8B">
      <w:pPr>
        <w:rPr>
          <w:rFonts w:ascii="Arial" w:eastAsia="Trebuchet MS Bold" w:hAnsi="Arial" w:cs="Arial"/>
        </w:rPr>
      </w:pPr>
    </w:p>
    <w:p w:rsidR="00CA5A8B" w:rsidRPr="0036024C" w:rsidRDefault="00CA5A8B" w:rsidP="0036024C">
      <w:pPr>
        <w:pStyle w:val="ListParagraph"/>
        <w:spacing w:after="0" w:line="259" w:lineRule="auto"/>
        <w:ind w:left="1080"/>
        <w:rPr>
          <w:rFonts w:ascii="MS Gothic" w:eastAsia="MS Gothic" w:hAnsi="MS Gothic" w:cs="MS Gothic"/>
          <w:sz w:val="24"/>
          <w:szCs w:val="24"/>
        </w:rPr>
      </w:pPr>
      <w:r w:rsidRPr="0036024C">
        <w:rPr>
          <w:rFonts w:ascii="Arial" w:eastAsia="Trebuchet MS Bold" w:hAnsi="Arial" w:cs="Arial"/>
          <w:sz w:val="24"/>
          <w:szCs w:val="24"/>
        </w:rPr>
        <w:t xml:space="preserve">as a word document, e-mail to: info@platform-online.co.uk </w:t>
      </w:r>
      <w:r w:rsidRPr="0036024C">
        <w:rPr>
          <w:rFonts w:ascii="MS Gothic" w:eastAsia="MS Gothic" w:hAnsi="MS Gothic" w:cs="MS Gothic" w:hint="eastAsia"/>
          <w:sz w:val="24"/>
          <w:szCs w:val="24"/>
        </w:rPr>
        <w:t> </w:t>
      </w:r>
    </w:p>
    <w:p w:rsidR="00CA5A8B" w:rsidRPr="0036024C" w:rsidRDefault="00CA5A8B" w:rsidP="0036024C">
      <w:pPr>
        <w:pStyle w:val="ListParagraph"/>
        <w:spacing w:after="0" w:line="259" w:lineRule="auto"/>
        <w:ind w:left="1080"/>
        <w:rPr>
          <w:rFonts w:ascii="Arial" w:eastAsia="Trebuchet MS Bold" w:hAnsi="Arial" w:cs="Arial"/>
          <w:sz w:val="24"/>
          <w:szCs w:val="24"/>
        </w:rPr>
      </w:pPr>
      <w:r w:rsidRPr="0036024C">
        <w:rPr>
          <w:rFonts w:ascii="Arial" w:eastAsia="Trebuchet MS Bold" w:hAnsi="Arial" w:cs="Arial"/>
          <w:sz w:val="24"/>
          <w:szCs w:val="24"/>
        </w:rPr>
        <w:t>as a hard copy to:</w:t>
      </w:r>
      <w:r w:rsidRPr="0036024C">
        <w:rPr>
          <w:rFonts w:ascii="MS Gothic" w:eastAsia="MS Gothic" w:hAnsi="MS Gothic" w:cs="MS Gothic" w:hint="eastAsia"/>
          <w:sz w:val="24"/>
          <w:szCs w:val="24"/>
        </w:rPr>
        <w:t>  </w:t>
      </w:r>
    </w:p>
    <w:p w:rsidR="00CA5A8B" w:rsidRPr="0036024C" w:rsidRDefault="00CA5A8B" w:rsidP="0036024C">
      <w:pPr>
        <w:pStyle w:val="ListParagraph"/>
        <w:spacing w:after="0" w:line="259" w:lineRule="auto"/>
        <w:ind w:left="1080"/>
        <w:rPr>
          <w:rFonts w:ascii="Arial" w:eastAsia="Trebuchet MS Bold" w:hAnsi="Arial" w:cs="Arial"/>
          <w:sz w:val="24"/>
          <w:szCs w:val="24"/>
        </w:rPr>
      </w:pPr>
    </w:p>
    <w:p w:rsidR="00CA5A8B" w:rsidRPr="0036024C" w:rsidRDefault="00CA5A8B" w:rsidP="0036024C">
      <w:pPr>
        <w:pStyle w:val="ListParagraph"/>
        <w:spacing w:after="0" w:line="259" w:lineRule="auto"/>
        <w:ind w:left="1080"/>
        <w:rPr>
          <w:rFonts w:ascii="Arial" w:eastAsia="Trebuchet MS Bold" w:hAnsi="Arial" w:cs="Arial"/>
          <w:sz w:val="24"/>
          <w:szCs w:val="24"/>
        </w:rPr>
      </w:pPr>
      <w:r w:rsidRPr="0036024C">
        <w:rPr>
          <w:rFonts w:ascii="Arial" w:eastAsia="Trebuchet MS Bold" w:hAnsi="Arial" w:cs="Arial"/>
          <w:sz w:val="24"/>
          <w:szCs w:val="24"/>
        </w:rPr>
        <w:t>Platform</w:t>
      </w:r>
    </w:p>
    <w:p w:rsidR="00CA5A8B" w:rsidRPr="0036024C" w:rsidRDefault="00CA5A8B" w:rsidP="0036024C">
      <w:pPr>
        <w:pStyle w:val="ListParagraph"/>
        <w:spacing w:after="0" w:line="259" w:lineRule="auto"/>
        <w:ind w:left="1080"/>
        <w:rPr>
          <w:rFonts w:ascii="Arial" w:eastAsia="Trebuchet MS Bold" w:hAnsi="Arial" w:cs="Arial"/>
          <w:sz w:val="24"/>
          <w:szCs w:val="24"/>
        </w:rPr>
      </w:pPr>
      <w:r w:rsidRPr="0036024C">
        <w:rPr>
          <w:rFonts w:ascii="Arial" w:eastAsia="Trebuchet MS Bold" w:hAnsi="Arial" w:cs="Arial"/>
          <w:sz w:val="24"/>
          <w:szCs w:val="24"/>
        </w:rPr>
        <w:t>The Bridge</w:t>
      </w:r>
    </w:p>
    <w:p w:rsidR="00CA5A8B" w:rsidRPr="0036024C" w:rsidRDefault="00CA5A8B" w:rsidP="0036024C">
      <w:pPr>
        <w:pStyle w:val="ListParagraph"/>
        <w:spacing w:after="0" w:line="259" w:lineRule="auto"/>
        <w:ind w:left="1080"/>
        <w:rPr>
          <w:rFonts w:ascii="Arial" w:eastAsia="Trebuchet MS Bold" w:hAnsi="Arial" w:cs="Arial"/>
          <w:sz w:val="24"/>
          <w:szCs w:val="24"/>
        </w:rPr>
      </w:pPr>
      <w:r w:rsidRPr="0036024C">
        <w:rPr>
          <w:rFonts w:ascii="Arial" w:eastAsia="Trebuchet MS Bold" w:hAnsi="Arial" w:cs="Arial"/>
          <w:sz w:val="24"/>
          <w:szCs w:val="24"/>
        </w:rPr>
        <w:t>1000 Westerhouse Road</w:t>
      </w:r>
    </w:p>
    <w:p w:rsidR="00CA5A8B" w:rsidRPr="0036024C" w:rsidRDefault="00CA5A8B" w:rsidP="0036024C">
      <w:pPr>
        <w:pStyle w:val="ListParagraph"/>
        <w:spacing w:after="0" w:line="259" w:lineRule="auto"/>
        <w:ind w:left="1080"/>
        <w:rPr>
          <w:rFonts w:ascii="Arial" w:eastAsia="Trebuchet MS Bold" w:hAnsi="Arial" w:cs="Arial"/>
          <w:sz w:val="24"/>
          <w:szCs w:val="24"/>
        </w:rPr>
      </w:pPr>
      <w:r w:rsidRPr="0036024C">
        <w:rPr>
          <w:rFonts w:ascii="Arial" w:eastAsia="Trebuchet MS Bold" w:hAnsi="Arial" w:cs="Arial"/>
          <w:sz w:val="24"/>
          <w:szCs w:val="24"/>
        </w:rPr>
        <w:t>Glasgow</w:t>
      </w:r>
    </w:p>
    <w:p w:rsidR="00CA5A8B" w:rsidRPr="0036024C" w:rsidRDefault="00CA5A8B" w:rsidP="0036024C">
      <w:pPr>
        <w:pStyle w:val="ListParagraph"/>
        <w:spacing w:after="0" w:line="259" w:lineRule="auto"/>
        <w:ind w:left="1080"/>
        <w:rPr>
          <w:rFonts w:ascii="Arial" w:eastAsia="Trebuchet MS Bold" w:hAnsi="Arial" w:cs="Arial"/>
          <w:sz w:val="24"/>
          <w:szCs w:val="24"/>
        </w:rPr>
      </w:pPr>
      <w:r w:rsidRPr="0036024C">
        <w:rPr>
          <w:rFonts w:ascii="Arial" w:eastAsia="Trebuchet MS Bold" w:hAnsi="Arial" w:cs="Arial"/>
          <w:sz w:val="24"/>
          <w:szCs w:val="24"/>
        </w:rPr>
        <w:t>G34 9JW</w:t>
      </w:r>
    </w:p>
    <w:p w:rsidR="00CA5A8B" w:rsidRDefault="00CA5A8B" w:rsidP="0036024C">
      <w:pPr>
        <w:pStyle w:val="ListParagraph"/>
        <w:spacing w:after="0" w:line="259" w:lineRule="auto"/>
        <w:ind w:left="1080"/>
        <w:rPr>
          <w:rFonts w:ascii="Arial" w:eastAsia="Trebuchet MS Bold" w:hAnsi="Arial" w:cs="Arial"/>
        </w:rPr>
      </w:pPr>
    </w:p>
    <w:p w:rsidR="0036024C" w:rsidRDefault="0036024C" w:rsidP="0036024C">
      <w:pPr>
        <w:pStyle w:val="Default"/>
        <w:rPr>
          <w:rFonts w:ascii="Arial"/>
        </w:rPr>
      </w:pPr>
      <w:r>
        <w:rPr>
          <w:rFonts w:ascii="Arial"/>
        </w:rPr>
        <w:t xml:space="preserve">Deadline for applications is </w:t>
      </w:r>
      <w:r w:rsidRPr="0036024C">
        <w:rPr>
          <w:rFonts w:ascii="Arial"/>
          <w:b/>
        </w:rPr>
        <w:t>noon on Wednesday 1 June 2016</w:t>
      </w:r>
      <w:r>
        <w:rPr>
          <w:rFonts w:ascii="Arial"/>
        </w:rPr>
        <w:t xml:space="preserve"> with interviews planned for Tuesday 14 June 2016.</w:t>
      </w:r>
    </w:p>
    <w:p w:rsidR="00A51106" w:rsidRDefault="00A51106" w:rsidP="00CA5A8B">
      <w:pPr>
        <w:pStyle w:val="ListParagraph"/>
        <w:spacing w:after="0" w:line="259" w:lineRule="auto"/>
        <w:ind w:left="1080"/>
        <w:rPr>
          <w:rFonts w:ascii="Arial" w:eastAsia="Trebuchet MS Bold" w:hAnsi="Arial" w:cs="Arial"/>
        </w:rPr>
      </w:pPr>
    </w:p>
    <w:p w:rsidR="00A51106" w:rsidRDefault="00A51106" w:rsidP="00CA5A8B">
      <w:pPr>
        <w:pStyle w:val="ListParagraph"/>
        <w:spacing w:after="0" w:line="259" w:lineRule="auto"/>
        <w:ind w:left="1080"/>
        <w:rPr>
          <w:rFonts w:ascii="Arial" w:eastAsia="Trebuchet MS Bold" w:hAnsi="Arial" w:cs="Arial"/>
        </w:rPr>
      </w:pPr>
    </w:p>
    <w:p w:rsidR="00A51106" w:rsidRDefault="00A51106" w:rsidP="00CA5A8B">
      <w:pPr>
        <w:pStyle w:val="ListParagraph"/>
        <w:spacing w:after="0" w:line="259" w:lineRule="auto"/>
        <w:ind w:left="1080"/>
        <w:rPr>
          <w:rFonts w:ascii="Arial" w:eastAsia="Trebuchet MS Bold" w:hAnsi="Arial" w:cs="Arial"/>
        </w:rPr>
      </w:pPr>
    </w:p>
    <w:p w:rsidR="00A51106" w:rsidRDefault="00A51106" w:rsidP="00CA5A8B">
      <w:pPr>
        <w:pStyle w:val="ListParagraph"/>
        <w:spacing w:after="0" w:line="259" w:lineRule="auto"/>
        <w:ind w:left="1080"/>
        <w:rPr>
          <w:rFonts w:ascii="Arial" w:eastAsia="Trebuchet MS Bold" w:hAnsi="Arial" w:cs="Arial"/>
        </w:rPr>
      </w:pPr>
    </w:p>
    <w:p w:rsidR="00A51106" w:rsidRDefault="00A51106" w:rsidP="00CA5A8B">
      <w:pPr>
        <w:pStyle w:val="ListParagraph"/>
        <w:spacing w:after="0" w:line="259" w:lineRule="auto"/>
        <w:ind w:left="1080"/>
        <w:rPr>
          <w:rFonts w:ascii="Arial" w:eastAsia="Trebuchet MS Bold" w:hAnsi="Arial" w:cs="Arial"/>
        </w:rPr>
      </w:pPr>
    </w:p>
    <w:p w:rsidR="00A51106" w:rsidRDefault="00A51106" w:rsidP="00CA5A8B">
      <w:pPr>
        <w:pStyle w:val="ListParagraph"/>
        <w:spacing w:after="0" w:line="259" w:lineRule="auto"/>
        <w:ind w:left="1080"/>
        <w:rPr>
          <w:rFonts w:ascii="Arial" w:eastAsia="Trebuchet MS Bold" w:hAnsi="Arial" w:cs="Arial"/>
        </w:rPr>
      </w:pPr>
    </w:p>
    <w:p w:rsidR="005B7B2A" w:rsidRDefault="005B7B2A" w:rsidP="00CA5A8B">
      <w:pPr>
        <w:pStyle w:val="ListParagraph"/>
        <w:spacing w:after="0" w:line="259" w:lineRule="auto"/>
        <w:ind w:left="1080"/>
        <w:rPr>
          <w:rFonts w:ascii="Arial" w:eastAsia="Trebuchet MS Bold" w:hAnsi="Arial" w:cs="Arial"/>
        </w:rPr>
      </w:pPr>
    </w:p>
    <w:p w:rsidR="005B7B2A" w:rsidRDefault="005B7B2A" w:rsidP="00CA5A8B">
      <w:pPr>
        <w:pStyle w:val="ListParagraph"/>
        <w:spacing w:after="0" w:line="259" w:lineRule="auto"/>
        <w:ind w:left="1080"/>
        <w:rPr>
          <w:rFonts w:ascii="Arial" w:eastAsia="Trebuchet MS Bold" w:hAnsi="Arial" w:cs="Arial"/>
        </w:rPr>
      </w:pPr>
    </w:p>
    <w:p w:rsidR="005B7B2A" w:rsidRDefault="005B7B2A" w:rsidP="00CA5A8B">
      <w:pPr>
        <w:pStyle w:val="ListParagraph"/>
        <w:spacing w:after="0" w:line="259" w:lineRule="auto"/>
        <w:ind w:left="1080"/>
        <w:rPr>
          <w:rFonts w:ascii="Arial" w:eastAsia="Trebuchet MS Bold" w:hAnsi="Arial" w:cs="Arial"/>
        </w:rPr>
      </w:pPr>
    </w:p>
    <w:p w:rsidR="005B7B2A" w:rsidRDefault="005B7B2A" w:rsidP="00CA5A8B">
      <w:pPr>
        <w:pStyle w:val="ListParagraph"/>
        <w:spacing w:after="0" w:line="259" w:lineRule="auto"/>
        <w:ind w:left="1080"/>
        <w:rPr>
          <w:rFonts w:ascii="Arial" w:eastAsia="Trebuchet MS Bold" w:hAnsi="Arial" w:cs="Arial"/>
        </w:rPr>
      </w:pPr>
    </w:p>
    <w:p w:rsidR="005B7B2A" w:rsidRDefault="005B7B2A" w:rsidP="00CA5A8B">
      <w:pPr>
        <w:pStyle w:val="ListParagraph"/>
        <w:spacing w:after="0" w:line="259" w:lineRule="auto"/>
        <w:ind w:left="1080"/>
        <w:rPr>
          <w:rFonts w:ascii="Arial" w:eastAsia="Trebuchet MS Bold" w:hAnsi="Arial" w:cs="Arial"/>
        </w:rPr>
      </w:pPr>
    </w:p>
    <w:p w:rsidR="005B7B2A" w:rsidRDefault="005B7B2A" w:rsidP="00CA5A8B">
      <w:pPr>
        <w:pStyle w:val="ListParagraph"/>
        <w:spacing w:after="0" w:line="259" w:lineRule="auto"/>
        <w:ind w:left="1080"/>
        <w:rPr>
          <w:rFonts w:ascii="Arial" w:eastAsia="Trebuchet MS Bold" w:hAnsi="Arial" w:cs="Arial"/>
        </w:rPr>
      </w:pPr>
    </w:p>
    <w:p w:rsidR="005B7B2A" w:rsidRDefault="005B7B2A" w:rsidP="00CA5A8B">
      <w:pPr>
        <w:pStyle w:val="ListParagraph"/>
        <w:spacing w:after="0" w:line="259" w:lineRule="auto"/>
        <w:ind w:left="1080"/>
        <w:rPr>
          <w:rFonts w:ascii="Arial" w:eastAsia="Trebuchet MS Bold" w:hAnsi="Arial" w:cs="Arial"/>
        </w:rPr>
      </w:pPr>
    </w:p>
    <w:p w:rsidR="005B7B2A" w:rsidRDefault="005B7B2A" w:rsidP="00CA5A8B">
      <w:pPr>
        <w:pStyle w:val="ListParagraph"/>
        <w:spacing w:after="0" w:line="259" w:lineRule="auto"/>
        <w:ind w:left="1080"/>
        <w:rPr>
          <w:rFonts w:ascii="Arial" w:eastAsia="Trebuchet MS Bold" w:hAnsi="Arial" w:cs="Arial"/>
        </w:rPr>
      </w:pPr>
    </w:p>
    <w:p w:rsidR="005B7B2A" w:rsidRDefault="005B7B2A" w:rsidP="00CA5A8B">
      <w:pPr>
        <w:pStyle w:val="ListParagraph"/>
        <w:spacing w:after="0" w:line="259" w:lineRule="auto"/>
        <w:ind w:left="1080"/>
        <w:rPr>
          <w:rFonts w:ascii="Arial" w:eastAsia="Trebuchet MS Bold" w:hAnsi="Arial" w:cs="Arial"/>
        </w:rPr>
      </w:pPr>
    </w:p>
    <w:p w:rsidR="005B7B2A" w:rsidRDefault="005B7B2A" w:rsidP="00CA5A8B">
      <w:pPr>
        <w:pStyle w:val="ListParagraph"/>
        <w:spacing w:after="0" w:line="259" w:lineRule="auto"/>
        <w:ind w:left="1080"/>
        <w:rPr>
          <w:rFonts w:ascii="Arial" w:eastAsia="Trebuchet MS Bold" w:hAnsi="Arial" w:cs="Arial"/>
        </w:rPr>
      </w:pPr>
    </w:p>
    <w:p w:rsidR="005B7B2A" w:rsidRDefault="005B7B2A" w:rsidP="00CA5A8B">
      <w:pPr>
        <w:pStyle w:val="ListParagraph"/>
        <w:spacing w:after="0" w:line="259" w:lineRule="auto"/>
        <w:ind w:left="1080"/>
        <w:rPr>
          <w:rFonts w:ascii="Arial" w:eastAsia="Trebuchet MS Bold" w:hAnsi="Arial" w:cs="Arial"/>
        </w:rPr>
      </w:pPr>
    </w:p>
    <w:p w:rsidR="005B7B2A" w:rsidRDefault="005B7B2A" w:rsidP="00CA5A8B">
      <w:pPr>
        <w:pStyle w:val="ListParagraph"/>
        <w:spacing w:after="0" w:line="259" w:lineRule="auto"/>
        <w:ind w:left="1080"/>
        <w:rPr>
          <w:rFonts w:ascii="Arial" w:eastAsia="Trebuchet MS Bold" w:hAnsi="Arial" w:cs="Arial"/>
        </w:rPr>
      </w:pPr>
    </w:p>
    <w:p w:rsidR="005B7B2A" w:rsidRDefault="005B7B2A" w:rsidP="00CA5A8B">
      <w:pPr>
        <w:pStyle w:val="ListParagraph"/>
        <w:spacing w:after="0" w:line="259" w:lineRule="auto"/>
        <w:ind w:left="1080"/>
        <w:rPr>
          <w:rFonts w:ascii="Arial" w:eastAsia="Trebuchet MS Bold" w:hAnsi="Arial" w:cs="Arial"/>
        </w:rPr>
      </w:pPr>
    </w:p>
    <w:p w:rsidR="005B7B2A" w:rsidRDefault="005B7B2A" w:rsidP="00CA5A8B">
      <w:pPr>
        <w:pStyle w:val="ListParagraph"/>
        <w:spacing w:after="0" w:line="259" w:lineRule="auto"/>
        <w:ind w:left="1080"/>
        <w:rPr>
          <w:rFonts w:ascii="Arial" w:eastAsia="Trebuchet MS Bold" w:hAnsi="Arial" w:cs="Arial"/>
        </w:rPr>
      </w:pPr>
    </w:p>
    <w:p w:rsidR="004A1F8B" w:rsidRDefault="004A1F8B" w:rsidP="004A1F8B">
      <w:pPr>
        <w:rPr>
          <w:rFonts w:ascii="Arial" w:eastAsia="Trebuchet MS Bold" w:hAnsi="Arial" w:cs="Arial"/>
          <w:color w:val="000000"/>
          <w:sz w:val="22"/>
          <w:szCs w:val="22"/>
          <w:u w:color="000000"/>
          <w:lang w:eastAsia="en-GB"/>
        </w:rPr>
      </w:pPr>
    </w:p>
    <w:p w:rsidR="00CB61B3" w:rsidRPr="002A4288" w:rsidRDefault="00CB61B3" w:rsidP="004A1F8B">
      <w:pPr>
        <w:jc w:val="center"/>
        <w:rPr>
          <w:rFonts w:ascii="Arial Bold" w:hAnsi="Arial Unicode MS" w:cs="Arial Unicode MS"/>
          <w:color w:val="000000"/>
          <w:sz w:val="22"/>
          <w:szCs w:val="22"/>
          <w:u w:color="000000"/>
          <w:lang w:eastAsia="en-GB"/>
        </w:rPr>
      </w:pPr>
      <w:r>
        <w:rPr>
          <w:rFonts w:ascii="Arial Bold"/>
          <w:sz w:val="22"/>
          <w:szCs w:val="22"/>
        </w:rPr>
        <w:lastRenderedPageBreak/>
        <w:t>Glasgow East Arts Company Limited</w:t>
      </w:r>
    </w:p>
    <w:p w:rsidR="00CB61B3" w:rsidRDefault="00CB61B3" w:rsidP="00CB61B3">
      <w:pPr>
        <w:pStyle w:val="BodyA"/>
        <w:jc w:val="center"/>
        <w:rPr>
          <w:rFonts w:ascii="Arial" w:eastAsia="Arial" w:hAnsi="Arial" w:cs="Arial"/>
          <w:sz w:val="22"/>
          <w:szCs w:val="22"/>
        </w:rPr>
      </w:pPr>
    </w:p>
    <w:p w:rsidR="00CB61B3" w:rsidRDefault="00CB61B3" w:rsidP="00CB61B3">
      <w:pPr>
        <w:pStyle w:val="BodyA"/>
        <w:jc w:val="center"/>
        <w:rPr>
          <w:rFonts w:ascii="Arial" w:eastAsia="Arial" w:hAnsi="Arial" w:cs="Arial"/>
          <w:sz w:val="22"/>
          <w:szCs w:val="22"/>
        </w:rPr>
      </w:pPr>
      <w:r>
        <w:rPr>
          <w:rFonts w:ascii="Arial"/>
          <w:b/>
          <w:bCs/>
          <w:sz w:val="22"/>
          <w:szCs w:val="22"/>
        </w:rPr>
        <w:t>PERSON SPECIFICATION</w:t>
      </w:r>
      <w:r>
        <w:rPr>
          <w:rFonts w:ascii="Arial"/>
          <w:sz w:val="22"/>
          <w:szCs w:val="22"/>
        </w:rPr>
        <w:t xml:space="preserve"> </w:t>
      </w:r>
    </w:p>
    <w:p w:rsidR="00CB61B3" w:rsidRDefault="00CB61B3" w:rsidP="00CB61B3">
      <w:pPr>
        <w:pStyle w:val="BodyA"/>
        <w:jc w:val="center"/>
        <w:rPr>
          <w:rFonts w:ascii="Arial" w:eastAsia="Arial" w:hAnsi="Arial" w:cs="Arial"/>
          <w:sz w:val="22"/>
          <w:szCs w:val="22"/>
        </w:rPr>
      </w:pPr>
    </w:p>
    <w:p w:rsidR="00CB61B3" w:rsidRDefault="00CB61B3" w:rsidP="00CB61B3">
      <w:pPr>
        <w:pStyle w:val="BodyA"/>
        <w:tabs>
          <w:tab w:val="center" w:pos="4590"/>
          <w:tab w:val="left" w:pos="6525"/>
        </w:tabs>
        <w:jc w:val="center"/>
        <w:rPr>
          <w:rFonts w:ascii="Arial Bold" w:eastAsia="Arial Bold" w:hAnsi="Arial Bold" w:cs="Arial Bold"/>
          <w:sz w:val="22"/>
          <w:szCs w:val="22"/>
        </w:rPr>
      </w:pPr>
      <w:r>
        <w:rPr>
          <w:rFonts w:ascii="Arial Bold"/>
          <w:sz w:val="22"/>
          <w:szCs w:val="22"/>
        </w:rPr>
        <w:t>Community Organiser, Thriving Places Initiative</w:t>
      </w:r>
    </w:p>
    <w:p w:rsidR="007841E1" w:rsidRDefault="007841E1">
      <w:pPr>
        <w:pStyle w:val="Body"/>
        <w:rPr>
          <w:sz w:val="22"/>
          <w:szCs w:val="22"/>
        </w:rPr>
      </w:pP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761"/>
        <w:gridCol w:w="4415"/>
        <w:gridCol w:w="3184"/>
      </w:tblGrid>
      <w:tr w:rsidR="007841E1" w:rsidRPr="00CB61B3">
        <w:trPr>
          <w:trHeight w:val="483"/>
          <w:tblHeader/>
        </w:trPr>
        <w:tc>
          <w:tcPr>
            <w:tcW w:w="17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841E1" w:rsidRPr="00CB61B3" w:rsidRDefault="007841E1">
            <w:pPr>
              <w:rPr>
                <w:rFonts w:ascii="Arial" w:hAnsi="Arial" w:cs="Arial"/>
              </w:rPr>
            </w:pPr>
          </w:p>
        </w:tc>
        <w:tc>
          <w:tcPr>
            <w:tcW w:w="441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841E1" w:rsidRPr="00CB61B3" w:rsidRDefault="00C5586E">
            <w:pPr>
              <w:pStyle w:val="Body"/>
              <w:rPr>
                <w:rFonts w:eastAsia="Arial Bold" w:hAnsi="Arial" w:cs="Arial"/>
                <w:sz w:val="22"/>
                <w:szCs w:val="22"/>
                <w:lang w:val="en-US"/>
              </w:rPr>
            </w:pPr>
            <w:r w:rsidRPr="00CB61B3">
              <w:rPr>
                <w:rFonts w:hAnsi="Arial" w:cs="Arial"/>
                <w:sz w:val="22"/>
                <w:szCs w:val="22"/>
                <w:lang w:val="en-US"/>
              </w:rPr>
              <w:t>Essential</w:t>
            </w:r>
          </w:p>
        </w:tc>
        <w:tc>
          <w:tcPr>
            <w:tcW w:w="318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841E1" w:rsidRPr="00CB61B3" w:rsidRDefault="00C5586E">
            <w:pPr>
              <w:pStyle w:val="Body"/>
              <w:rPr>
                <w:rFonts w:hAnsi="Arial" w:cs="Arial"/>
              </w:rPr>
            </w:pPr>
            <w:r w:rsidRPr="00CB61B3">
              <w:rPr>
                <w:rFonts w:hAnsi="Arial" w:cs="Arial"/>
                <w:sz w:val="22"/>
                <w:szCs w:val="22"/>
                <w:lang w:val="en-US"/>
              </w:rPr>
              <w:t>Desirable</w:t>
            </w:r>
          </w:p>
        </w:tc>
      </w:tr>
      <w:tr w:rsidR="007841E1" w:rsidRPr="00CB61B3">
        <w:tblPrEx>
          <w:shd w:val="clear" w:color="auto" w:fill="auto"/>
        </w:tblPrEx>
        <w:trPr>
          <w:trHeight w:val="3042"/>
        </w:trPr>
        <w:tc>
          <w:tcPr>
            <w:tcW w:w="17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841E1" w:rsidRPr="00CB61B3" w:rsidRDefault="00C5586E">
            <w:pPr>
              <w:pStyle w:val="Body"/>
              <w:rPr>
                <w:rFonts w:hAnsi="Arial" w:cs="Arial"/>
              </w:rPr>
            </w:pPr>
            <w:r w:rsidRPr="00CB61B3">
              <w:rPr>
                <w:rFonts w:hAnsi="Arial" w:cs="Arial"/>
                <w:sz w:val="22"/>
                <w:szCs w:val="22"/>
                <w:lang w:val="en-US"/>
              </w:rPr>
              <w:t>Experience</w:t>
            </w:r>
          </w:p>
        </w:tc>
        <w:tc>
          <w:tcPr>
            <w:tcW w:w="4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1E1" w:rsidRPr="00CB61B3" w:rsidRDefault="00C5586E" w:rsidP="00C5586E">
            <w:pPr>
              <w:pStyle w:val="ListParagraph"/>
              <w:numPr>
                <w:ilvl w:val="0"/>
                <w:numId w:val="13"/>
              </w:numPr>
              <w:rPr>
                <w:rFonts w:ascii="Arial" w:eastAsia="Arial" w:hAnsi="Arial" w:cs="Arial"/>
              </w:rPr>
            </w:pPr>
            <w:r w:rsidRPr="00CB61B3">
              <w:rPr>
                <w:rFonts w:ascii="Arial" w:hAnsi="Arial" w:cs="Arial"/>
              </w:rPr>
              <w:t>A minimum of 3 years of community development/ community engagement experience supporting an asset based approach;</w:t>
            </w:r>
          </w:p>
          <w:p w:rsidR="007841E1" w:rsidRPr="00CB61B3" w:rsidRDefault="00C5586E" w:rsidP="00C5586E">
            <w:pPr>
              <w:pStyle w:val="ListParagraph"/>
              <w:numPr>
                <w:ilvl w:val="0"/>
                <w:numId w:val="14"/>
              </w:numPr>
              <w:rPr>
                <w:rFonts w:ascii="Arial" w:eastAsia="Arial" w:hAnsi="Arial" w:cs="Arial"/>
              </w:rPr>
            </w:pPr>
            <w:r w:rsidRPr="00CB61B3">
              <w:rPr>
                <w:rFonts w:ascii="Arial" w:hAnsi="Arial" w:cs="Arial"/>
              </w:rPr>
              <w:t>Experience of building relationships with individuals and groups;</w:t>
            </w:r>
          </w:p>
          <w:p w:rsidR="007841E1" w:rsidRPr="00CB61B3" w:rsidRDefault="00C5586E" w:rsidP="00C5586E">
            <w:pPr>
              <w:pStyle w:val="ListParagraph"/>
              <w:numPr>
                <w:ilvl w:val="0"/>
                <w:numId w:val="15"/>
              </w:numPr>
              <w:rPr>
                <w:rFonts w:ascii="Arial" w:eastAsia="Arial" w:hAnsi="Arial" w:cs="Arial"/>
              </w:rPr>
            </w:pPr>
            <w:r w:rsidRPr="00CB61B3">
              <w:rPr>
                <w:rFonts w:ascii="Arial" w:hAnsi="Arial" w:cs="Arial"/>
              </w:rPr>
              <w:t>Experience of partnership working;</w:t>
            </w:r>
          </w:p>
          <w:p w:rsidR="007841E1" w:rsidRPr="00CB61B3" w:rsidRDefault="00C5586E" w:rsidP="00C5586E">
            <w:pPr>
              <w:pStyle w:val="ListParagraph"/>
              <w:numPr>
                <w:ilvl w:val="0"/>
                <w:numId w:val="16"/>
              </w:numPr>
              <w:rPr>
                <w:rFonts w:ascii="Arial" w:eastAsia="Arial" w:hAnsi="Arial" w:cs="Arial"/>
              </w:rPr>
            </w:pPr>
            <w:r w:rsidRPr="00CB61B3">
              <w:rPr>
                <w:rFonts w:ascii="Arial" w:hAnsi="Arial" w:cs="Arial"/>
              </w:rPr>
              <w:t>Experience  of project planning/management</w:t>
            </w:r>
          </w:p>
        </w:tc>
        <w:tc>
          <w:tcPr>
            <w:tcW w:w="3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1E1" w:rsidRPr="00CB61B3" w:rsidRDefault="00C5586E" w:rsidP="00C5586E">
            <w:pPr>
              <w:pStyle w:val="ListParagraph"/>
              <w:numPr>
                <w:ilvl w:val="0"/>
                <w:numId w:val="17"/>
              </w:numPr>
              <w:rPr>
                <w:rFonts w:ascii="Arial" w:eastAsia="Arial" w:hAnsi="Arial" w:cs="Arial"/>
              </w:rPr>
            </w:pPr>
            <w:r w:rsidRPr="00CB61B3">
              <w:rPr>
                <w:rFonts w:ascii="Arial" w:hAnsi="Arial" w:cs="Arial"/>
              </w:rPr>
              <w:t>Experience of developing and implementing monitoring systems</w:t>
            </w:r>
          </w:p>
        </w:tc>
      </w:tr>
      <w:tr w:rsidR="007841E1" w:rsidRPr="00CB61B3">
        <w:tblPrEx>
          <w:shd w:val="clear" w:color="auto" w:fill="auto"/>
        </w:tblPrEx>
        <w:trPr>
          <w:trHeight w:val="4817"/>
        </w:trPr>
        <w:tc>
          <w:tcPr>
            <w:tcW w:w="17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841E1" w:rsidRPr="00CB61B3" w:rsidRDefault="00C5586E">
            <w:pPr>
              <w:pStyle w:val="Body"/>
              <w:rPr>
                <w:rFonts w:hAnsi="Arial" w:cs="Arial"/>
              </w:rPr>
            </w:pPr>
            <w:r w:rsidRPr="00CB61B3">
              <w:rPr>
                <w:rFonts w:hAnsi="Arial" w:cs="Arial"/>
                <w:sz w:val="22"/>
                <w:szCs w:val="22"/>
                <w:lang w:val="en-US"/>
              </w:rPr>
              <w:t>Skills and abilities</w:t>
            </w:r>
          </w:p>
        </w:tc>
        <w:tc>
          <w:tcPr>
            <w:tcW w:w="4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1E1" w:rsidRPr="00CB61B3" w:rsidRDefault="00C5586E" w:rsidP="00C5586E">
            <w:pPr>
              <w:pStyle w:val="ListParagraph"/>
              <w:numPr>
                <w:ilvl w:val="0"/>
                <w:numId w:val="18"/>
              </w:numPr>
              <w:rPr>
                <w:rFonts w:ascii="Arial" w:eastAsia="Arial" w:hAnsi="Arial" w:cs="Arial"/>
              </w:rPr>
            </w:pPr>
            <w:r w:rsidRPr="00CB61B3">
              <w:rPr>
                <w:rFonts w:ascii="Arial" w:hAnsi="Arial" w:cs="Arial"/>
              </w:rPr>
              <w:t>Excellent interpersonal and engagement skills;</w:t>
            </w:r>
          </w:p>
          <w:p w:rsidR="007841E1" w:rsidRPr="00CB61B3" w:rsidRDefault="00C5586E" w:rsidP="00C5586E">
            <w:pPr>
              <w:pStyle w:val="ListParagraph"/>
              <w:numPr>
                <w:ilvl w:val="0"/>
                <w:numId w:val="19"/>
              </w:numPr>
              <w:rPr>
                <w:rFonts w:ascii="Arial" w:eastAsia="Arial" w:hAnsi="Arial" w:cs="Arial"/>
              </w:rPr>
            </w:pPr>
            <w:r w:rsidRPr="00CB61B3">
              <w:rPr>
                <w:rFonts w:ascii="Arial" w:hAnsi="Arial" w:cs="Arial"/>
              </w:rPr>
              <w:t>Ability to work with a diverse range of groups and individuals;</w:t>
            </w:r>
          </w:p>
          <w:p w:rsidR="007841E1" w:rsidRPr="00CB61B3" w:rsidRDefault="00C5586E" w:rsidP="00C5586E">
            <w:pPr>
              <w:pStyle w:val="ListParagraph"/>
              <w:numPr>
                <w:ilvl w:val="0"/>
                <w:numId w:val="20"/>
              </w:numPr>
              <w:rPr>
                <w:rFonts w:ascii="Arial" w:eastAsia="Arial" w:hAnsi="Arial" w:cs="Arial"/>
              </w:rPr>
            </w:pPr>
            <w:r w:rsidRPr="00CB61B3">
              <w:rPr>
                <w:rFonts w:ascii="Arial" w:hAnsi="Arial" w:cs="Arial"/>
              </w:rPr>
              <w:t>Good written and verbal communication skills including the ability to write structured written reports;</w:t>
            </w:r>
          </w:p>
          <w:p w:rsidR="007841E1" w:rsidRPr="00CB61B3" w:rsidRDefault="00C5586E" w:rsidP="00C5586E">
            <w:pPr>
              <w:pStyle w:val="ListParagraph"/>
              <w:numPr>
                <w:ilvl w:val="0"/>
                <w:numId w:val="21"/>
              </w:numPr>
              <w:rPr>
                <w:rFonts w:ascii="Arial" w:eastAsia="Arial" w:hAnsi="Arial" w:cs="Arial"/>
              </w:rPr>
            </w:pPr>
            <w:r w:rsidRPr="00CB61B3">
              <w:rPr>
                <w:rFonts w:ascii="Arial" w:hAnsi="Arial" w:cs="Arial"/>
              </w:rPr>
              <w:t>Ability to self- manage competing demands and be highly organised</w:t>
            </w:r>
          </w:p>
          <w:p w:rsidR="007841E1" w:rsidRPr="00CB61B3" w:rsidRDefault="00C5586E" w:rsidP="00C5586E">
            <w:pPr>
              <w:pStyle w:val="ListParagraph"/>
              <w:numPr>
                <w:ilvl w:val="0"/>
                <w:numId w:val="22"/>
              </w:numPr>
              <w:rPr>
                <w:rFonts w:ascii="Arial" w:eastAsia="Arial" w:hAnsi="Arial" w:cs="Arial"/>
              </w:rPr>
            </w:pPr>
            <w:r w:rsidRPr="00CB61B3">
              <w:rPr>
                <w:rFonts w:ascii="Arial" w:hAnsi="Arial" w:cs="Arial"/>
              </w:rPr>
              <w:t>Good record keeping skills</w:t>
            </w:r>
          </w:p>
          <w:p w:rsidR="007841E1" w:rsidRPr="00CB61B3" w:rsidRDefault="00C5586E" w:rsidP="00C5586E">
            <w:pPr>
              <w:pStyle w:val="ListParagraph"/>
              <w:numPr>
                <w:ilvl w:val="0"/>
                <w:numId w:val="23"/>
              </w:numPr>
              <w:rPr>
                <w:rFonts w:ascii="Arial" w:eastAsia="Arial" w:hAnsi="Arial" w:cs="Arial"/>
              </w:rPr>
            </w:pPr>
            <w:r w:rsidRPr="00CB61B3">
              <w:rPr>
                <w:rFonts w:ascii="Arial" w:hAnsi="Arial" w:cs="Arial"/>
              </w:rPr>
              <w:t>Good IT skills, including experience of word processing, spreadsheets and email</w:t>
            </w:r>
          </w:p>
        </w:tc>
        <w:tc>
          <w:tcPr>
            <w:tcW w:w="3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1E1" w:rsidRPr="00CB61B3" w:rsidRDefault="007841E1">
            <w:pPr>
              <w:rPr>
                <w:rFonts w:ascii="Arial" w:hAnsi="Arial" w:cs="Arial"/>
              </w:rPr>
            </w:pPr>
          </w:p>
        </w:tc>
      </w:tr>
      <w:tr w:rsidR="007841E1" w:rsidRPr="00CB61B3">
        <w:tblPrEx>
          <w:shd w:val="clear" w:color="auto" w:fill="auto"/>
        </w:tblPrEx>
        <w:trPr>
          <w:trHeight w:val="3517"/>
        </w:trPr>
        <w:tc>
          <w:tcPr>
            <w:tcW w:w="17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841E1" w:rsidRPr="00CB61B3" w:rsidRDefault="00C5586E">
            <w:pPr>
              <w:pStyle w:val="Body"/>
              <w:rPr>
                <w:rFonts w:hAnsi="Arial" w:cs="Arial"/>
              </w:rPr>
            </w:pPr>
            <w:r w:rsidRPr="00CB61B3">
              <w:rPr>
                <w:rFonts w:hAnsi="Arial" w:cs="Arial"/>
                <w:sz w:val="22"/>
                <w:szCs w:val="22"/>
                <w:lang w:val="en-US"/>
              </w:rPr>
              <w:lastRenderedPageBreak/>
              <w:t>Knowledge and qualifications</w:t>
            </w:r>
          </w:p>
        </w:tc>
        <w:tc>
          <w:tcPr>
            <w:tcW w:w="4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1E1" w:rsidRPr="00CB61B3" w:rsidRDefault="00C5586E" w:rsidP="00C5586E">
            <w:pPr>
              <w:pStyle w:val="ListParagraph"/>
              <w:numPr>
                <w:ilvl w:val="0"/>
                <w:numId w:val="24"/>
              </w:numPr>
              <w:rPr>
                <w:rFonts w:ascii="Arial" w:eastAsia="Arial" w:hAnsi="Arial" w:cs="Arial"/>
              </w:rPr>
            </w:pPr>
            <w:r w:rsidRPr="00CB61B3">
              <w:rPr>
                <w:rFonts w:ascii="Arial" w:hAnsi="Arial" w:cs="Arial"/>
              </w:rPr>
              <w:t>Educated to degree level in a relevant subject or considerable relevant experience</w:t>
            </w:r>
          </w:p>
          <w:p w:rsidR="007841E1" w:rsidRPr="00CB61B3" w:rsidRDefault="00C5586E" w:rsidP="00C5586E">
            <w:pPr>
              <w:pStyle w:val="ListParagraph"/>
              <w:numPr>
                <w:ilvl w:val="0"/>
                <w:numId w:val="25"/>
              </w:numPr>
              <w:rPr>
                <w:rFonts w:ascii="Arial" w:eastAsia="Arial" w:hAnsi="Arial" w:cs="Arial"/>
              </w:rPr>
            </w:pPr>
            <w:r w:rsidRPr="00CB61B3">
              <w:rPr>
                <w:rFonts w:ascii="Arial" w:hAnsi="Arial" w:cs="Arial"/>
              </w:rPr>
              <w:t>Understanding of equality issues in community engagement;</w:t>
            </w:r>
          </w:p>
          <w:p w:rsidR="007841E1" w:rsidRPr="00CB61B3" w:rsidRDefault="00C5586E" w:rsidP="00C5586E">
            <w:pPr>
              <w:pStyle w:val="ListParagraph"/>
              <w:numPr>
                <w:ilvl w:val="0"/>
                <w:numId w:val="26"/>
              </w:numPr>
              <w:rPr>
                <w:rFonts w:ascii="Arial" w:eastAsia="Arial" w:hAnsi="Arial" w:cs="Arial"/>
              </w:rPr>
            </w:pPr>
            <w:r w:rsidRPr="00CB61B3">
              <w:rPr>
                <w:rFonts w:ascii="Arial" w:hAnsi="Arial" w:cs="Arial"/>
              </w:rPr>
              <w:t>Understanding of Glasgow’s Thriving Places approach</w:t>
            </w:r>
          </w:p>
          <w:p w:rsidR="007841E1" w:rsidRPr="00CB61B3" w:rsidRDefault="00C5586E" w:rsidP="00C5586E">
            <w:pPr>
              <w:pStyle w:val="ListParagraph"/>
              <w:numPr>
                <w:ilvl w:val="0"/>
                <w:numId w:val="27"/>
              </w:numPr>
              <w:rPr>
                <w:rFonts w:ascii="Arial" w:eastAsia="Arial" w:hAnsi="Arial" w:cs="Arial"/>
              </w:rPr>
            </w:pPr>
            <w:r w:rsidRPr="00CB61B3">
              <w:rPr>
                <w:rFonts w:ascii="Arial" w:hAnsi="Arial" w:cs="Arial"/>
              </w:rPr>
              <w:t>A strong understanding of community led approaches</w:t>
            </w:r>
          </w:p>
        </w:tc>
        <w:tc>
          <w:tcPr>
            <w:tcW w:w="3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1E1" w:rsidRPr="00CB61B3" w:rsidRDefault="00C5586E" w:rsidP="00C5586E">
            <w:pPr>
              <w:pStyle w:val="ListParagraph"/>
              <w:numPr>
                <w:ilvl w:val="0"/>
                <w:numId w:val="28"/>
              </w:numPr>
              <w:rPr>
                <w:rFonts w:ascii="Arial" w:eastAsia="Arial" w:hAnsi="Arial" w:cs="Arial"/>
              </w:rPr>
            </w:pPr>
            <w:r w:rsidRPr="00CB61B3">
              <w:rPr>
                <w:rFonts w:ascii="Arial" w:hAnsi="Arial" w:cs="Arial"/>
              </w:rPr>
              <w:t>Community Learning and Development degree or post graduate qualification;</w:t>
            </w:r>
          </w:p>
          <w:p w:rsidR="007841E1" w:rsidRPr="00CB61B3" w:rsidRDefault="00C5586E" w:rsidP="00C5586E">
            <w:pPr>
              <w:pStyle w:val="ListParagraph"/>
              <w:numPr>
                <w:ilvl w:val="0"/>
                <w:numId w:val="29"/>
              </w:numPr>
              <w:rPr>
                <w:rFonts w:ascii="Arial" w:eastAsia="Arial" w:hAnsi="Arial" w:cs="Arial"/>
              </w:rPr>
            </w:pPr>
            <w:r w:rsidRPr="00CB61B3">
              <w:rPr>
                <w:rFonts w:ascii="Arial" w:hAnsi="Arial" w:cs="Arial"/>
              </w:rPr>
              <w:t>Knowledge of the Easterhouse area and the challenges faced by local residents;</w:t>
            </w:r>
          </w:p>
          <w:p w:rsidR="007841E1" w:rsidRPr="00CB61B3" w:rsidRDefault="00C5586E" w:rsidP="00C5586E">
            <w:pPr>
              <w:pStyle w:val="ListParagraph"/>
              <w:numPr>
                <w:ilvl w:val="0"/>
                <w:numId w:val="30"/>
              </w:numPr>
              <w:rPr>
                <w:rFonts w:ascii="Arial" w:eastAsia="Arial" w:hAnsi="Arial" w:cs="Arial"/>
              </w:rPr>
            </w:pPr>
            <w:r w:rsidRPr="00CB61B3">
              <w:rPr>
                <w:rFonts w:ascii="Arial" w:hAnsi="Arial" w:cs="Arial"/>
              </w:rPr>
              <w:t>Knowledge of Health and Safety at work</w:t>
            </w:r>
          </w:p>
        </w:tc>
      </w:tr>
      <w:tr w:rsidR="007841E1" w:rsidRPr="00CB61B3">
        <w:tblPrEx>
          <w:shd w:val="clear" w:color="auto" w:fill="auto"/>
        </w:tblPrEx>
        <w:trPr>
          <w:trHeight w:val="2017"/>
        </w:trPr>
        <w:tc>
          <w:tcPr>
            <w:tcW w:w="17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841E1" w:rsidRPr="00CB61B3" w:rsidRDefault="00C5586E">
            <w:pPr>
              <w:pStyle w:val="Body"/>
              <w:rPr>
                <w:rFonts w:hAnsi="Arial" w:cs="Arial"/>
              </w:rPr>
            </w:pPr>
            <w:r w:rsidRPr="00CB61B3">
              <w:rPr>
                <w:rFonts w:hAnsi="Arial" w:cs="Arial"/>
                <w:sz w:val="22"/>
                <w:szCs w:val="22"/>
                <w:lang w:val="en-US"/>
              </w:rPr>
              <w:t>Personal qualities</w:t>
            </w:r>
          </w:p>
        </w:tc>
        <w:tc>
          <w:tcPr>
            <w:tcW w:w="4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1E1" w:rsidRPr="00CB61B3" w:rsidRDefault="00C5586E" w:rsidP="00C5586E">
            <w:pPr>
              <w:pStyle w:val="ListParagraph"/>
              <w:numPr>
                <w:ilvl w:val="0"/>
                <w:numId w:val="31"/>
              </w:numPr>
              <w:rPr>
                <w:rFonts w:ascii="Arial" w:eastAsia="Arial" w:hAnsi="Arial" w:cs="Arial"/>
              </w:rPr>
            </w:pPr>
            <w:r w:rsidRPr="00CB61B3">
              <w:rPr>
                <w:rFonts w:ascii="Arial" w:hAnsi="Arial" w:cs="Arial"/>
              </w:rPr>
              <w:t>Enthusiastic, flexible, self-motivated, approachable and resilient</w:t>
            </w:r>
          </w:p>
          <w:p w:rsidR="007841E1" w:rsidRPr="00CB61B3" w:rsidRDefault="00C5586E" w:rsidP="00C5586E">
            <w:pPr>
              <w:pStyle w:val="ListParagraph"/>
              <w:numPr>
                <w:ilvl w:val="0"/>
                <w:numId w:val="32"/>
              </w:numPr>
              <w:rPr>
                <w:rFonts w:ascii="Arial" w:eastAsia="Arial" w:hAnsi="Arial" w:cs="Arial"/>
              </w:rPr>
            </w:pPr>
            <w:r w:rsidRPr="00CB61B3">
              <w:rPr>
                <w:rFonts w:ascii="Arial" w:hAnsi="Arial" w:cs="Arial"/>
              </w:rPr>
              <w:t>A team player</w:t>
            </w:r>
          </w:p>
          <w:p w:rsidR="007841E1" w:rsidRPr="00CB61B3" w:rsidRDefault="00C5586E" w:rsidP="00C5586E">
            <w:pPr>
              <w:pStyle w:val="ListParagraph"/>
              <w:numPr>
                <w:ilvl w:val="0"/>
                <w:numId w:val="33"/>
              </w:numPr>
              <w:rPr>
                <w:rFonts w:ascii="Arial" w:eastAsia="Arial" w:hAnsi="Arial" w:cs="Arial"/>
              </w:rPr>
            </w:pPr>
            <w:r w:rsidRPr="00CB61B3">
              <w:rPr>
                <w:rFonts w:ascii="Arial" w:hAnsi="Arial" w:cs="Arial"/>
              </w:rPr>
              <w:t>A commitment to the principles of co-production and community capacity building</w:t>
            </w:r>
          </w:p>
        </w:tc>
        <w:tc>
          <w:tcPr>
            <w:tcW w:w="3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1E1" w:rsidRPr="00CB61B3" w:rsidRDefault="007841E1">
            <w:pPr>
              <w:rPr>
                <w:rFonts w:ascii="Arial" w:hAnsi="Arial" w:cs="Arial"/>
              </w:rPr>
            </w:pPr>
          </w:p>
        </w:tc>
      </w:tr>
      <w:tr w:rsidR="007841E1" w:rsidRPr="00CB61B3">
        <w:tblPrEx>
          <w:shd w:val="clear" w:color="auto" w:fill="auto"/>
        </w:tblPrEx>
        <w:trPr>
          <w:trHeight w:val="793"/>
        </w:trPr>
        <w:tc>
          <w:tcPr>
            <w:tcW w:w="17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7841E1" w:rsidRPr="00CB61B3" w:rsidRDefault="00C5586E">
            <w:pPr>
              <w:pStyle w:val="Body"/>
              <w:rPr>
                <w:rFonts w:hAnsi="Arial" w:cs="Arial"/>
              </w:rPr>
            </w:pPr>
            <w:r w:rsidRPr="00CB61B3">
              <w:rPr>
                <w:rFonts w:hAnsi="Arial" w:cs="Arial"/>
                <w:sz w:val="22"/>
                <w:szCs w:val="22"/>
                <w:lang w:val="en-US"/>
              </w:rPr>
              <w:t>Other</w:t>
            </w:r>
          </w:p>
        </w:tc>
        <w:tc>
          <w:tcPr>
            <w:tcW w:w="4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1E1" w:rsidRPr="00CB61B3" w:rsidRDefault="00C5586E" w:rsidP="00C5586E">
            <w:pPr>
              <w:pStyle w:val="ListParagraph"/>
              <w:numPr>
                <w:ilvl w:val="0"/>
                <w:numId w:val="34"/>
              </w:numPr>
              <w:rPr>
                <w:rFonts w:ascii="Arial" w:eastAsia="Arial" w:hAnsi="Arial" w:cs="Arial"/>
              </w:rPr>
            </w:pPr>
            <w:r w:rsidRPr="00CB61B3">
              <w:rPr>
                <w:rFonts w:ascii="Arial" w:hAnsi="Arial" w:cs="Arial"/>
              </w:rPr>
              <w:t>Ability to meet the practical requirements of the job including a reasonable level of unsociable hours;</w:t>
            </w:r>
          </w:p>
        </w:tc>
        <w:tc>
          <w:tcPr>
            <w:tcW w:w="3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41E1" w:rsidRPr="00CB61B3" w:rsidRDefault="00C5586E" w:rsidP="00C5586E">
            <w:pPr>
              <w:pStyle w:val="ListParagraph"/>
              <w:numPr>
                <w:ilvl w:val="0"/>
                <w:numId w:val="35"/>
              </w:numPr>
              <w:rPr>
                <w:rFonts w:ascii="Arial" w:eastAsia="Arial" w:hAnsi="Arial" w:cs="Arial"/>
              </w:rPr>
            </w:pPr>
            <w:r w:rsidRPr="00CB61B3">
              <w:rPr>
                <w:rFonts w:ascii="Arial" w:hAnsi="Arial" w:cs="Arial"/>
              </w:rPr>
              <w:t>A clean driving license</w:t>
            </w:r>
          </w:p>
        </w:tc>
      </w:tr>
    </w:tbl>
    <w:p w:rsidR="007841E1" w:rsidRDefault="007841E1">
      <w:pPr>
        <w:pStyle w:val="Body"/>
        <w:rPr>
          <w:sz w:val="22"/>
          <w:szCs w:val="22"/>
        </w:rPr>
      </w:pPr>
    </w:p>
    <w:p w:rsidR="007841E1" w:rsidRDefault="007841E1">
      <w:pPr>
        <w:pStyle w:val="Body"/>
        <w:rPr>
          <w:sz w:val="22"/>
          <w:szCs w:val="22"/>
        </w:rPr>
      </w:pPr>
    </w:p>
    <w:p w:rsidR="007841E1" w:rsidRDefault="007841E1">
      <w:pPr>
        <w:pStyle w:val="Body"/>
        <w:spacing w:after="160" w:line="259" w:lineRule="auto"/>
        <w:rPr>
          <w:rFonts w:ascii="Arial Bold" w:eastAsia="Arial Bold" w:hAnsi="Arial Bold" w:cs="Arial Bold"/>
          <w:sz w:val="22"/>
          <w:szCs w:val="22"/>
        </w:rPr>
      </w:pPr>
    </w:p>
    <w:p w:rsidR="002A4288" w:rsidRDefault="002A4288">
      <w:pPr>
        <w:rPr>
          <w:rFonts w:ascii="Arial Bold" w:eastAsia="Arial Bold" w:hAnsi="Arial Bold" w:cs="Arial Bold"/>
          <w:sz w:val="22"/>
          <w:szCs w:val="22"/>
        </w:rPr>
      </w:pPr>
    </w:p>
    <w:p w:rsidR="002A4288" w:rsidRDefault="002A4288">
      <w:pPr>
        <w:rPr>
          <w:rFonts w:ascii="Arial Bold" w:eastAsia="Arial Bold" w:hAnsi="Arial Bold" w:cs="Arial Bold"/>
          <w:sz w:val="22"/>
          <w:szCs w:val="22"/>
        </w:rPr>
      </w:pPr>
    </w:p>
    <w:p w:rsidR="002A4288" w:rsidRDefault="002A4288">
      <w:pPr>
        <w:rPr>
          <w:rFonts w:ascii="Arial Bold" w:eastAsia="Arial Bold" w:hAnsi="Arial Bold" w:cs="Arial Bold"/>
          <w:sz w:val="22"/>
          <w:szCs w:val="22"/>
        </w:rPr>
      </w:pPr>
    </w:p>
    <w:p w:rsidR="002A4288" w:rsidRDefault="002A4288">
      <w:pPr>
        <w:rPr>
          <w:rFonts w:ascii="Arial Bold" w:eastAsia="Arial Bold" w:hAnsi="Arial Bold" w:cs="Arial Bold"/>
          <w:sz w:val="22"/>
          <w:szCs w:val="22"/>
        </w:rPr>
      </w:pPr>
    </w:p>
    <w:p w:rsidR="002A4288" w:rsidRDefault="002A4288">
      <w:pPr>
        <w:rPr>
          <w:rFonts w:ascii="Arial Bold" w:eastAsia="Arial Bold" w:hAnsi="Arial Bold" w:cs="Arial Bold"/>
          <w:sz w:val="22"/>
          <w:szCs w:val="22"/>
        </w:rPr>
      </w:pPr>
    </w:p>
    <w:p w:rsidR="002A4288" w:rsidRDefault="002A4288">
      <w:pPr>
        <w:rPr>
          <w:rFonts w:ascii="Arial Bold" w:eastAsia="Arial Bold" w:hAnsi="Arial Bold" w:cs="Arial Bold"/>
          <w:sz w:val="22"/>
          <w:szCs w:val="22"/>
        </w:rPr>
      </w:pPr>
    </w:p>
    <w:p w:rsidR="002A4288" w:rsidRDefault="002A4288">
      <w:pPr>
        <w:rPr>
          <w:rFonts w:ascii="Arial Bold" w:eastAsia="Arial Bold" w:hAnsi="Arial Bold" w:cs="Arial Bold"/>
          <w:sz w:val="22"/>
          <w:szCs w:val="22"/>
        </w:rPr>
      </w:pPr>
    </w:p>
    <w:p w:rsidR="002A4288" w:rsidRDefault="002A4288">
      <w:pPr>
        <w:rPr>
          <w:rFonts w:ascii="Arial Bold" w:eastAsia="Arial Bold" w:hAnsi="Arial Bold" w:cs="Arial Bold"/>
          <w:sz w:val="22"/>
          <w:szCs w:val="22"/>
        </w:rPr>
      </w:pPr>
    </w:p>
    <w:p w:rsidR="002A4288" w:rsidRDefault="002A4288">
      <w:pPr>
        <w:rPr>
          <w:rFonts w:ascii="Arial Bold" w:eastAsia="Arial Bold" w:hAnsi="Arial Bold" w:cs="Arial Bold"/>
          <w:sz w:val="22"/>
          <w:szCs w:val="22"/>
        </w:rPr>
      </w:pPr>
    </w:p>
    <w:p w:rsidR="002A4288" w:rsidRDefault="002A4288">
      <w:pPr>
        <w:rPr>
          <w:rFonts w:ascii="Arial Bold" w:eastAsia="Arial Bold" w:hAnsi="Arial Bold" w:cs="Arial Bold"/>
          <w:sz w:val="22"/>
          <w:szCs w:val="22"/>
        </w:rPr>
      </w:pPr>
    </w:p>
    <w:p w:rsidR="002A4288" w:rsidRDefault="002A4288">
      <w:pPr>
        <w:rPr>
          <w:rFonts w:ascii="Arial Bold" w:eastAsia="Arial Bold" w:hAnsi="Arial Bold" w:cs="Arial Bold"/>
          <w:sz w:val="22"/>
          <w:szCs w:val="22"/>
        </w:rPr>
      </w:pPr>
    </w:p>
    <w:p w:rsidR="002A4288" w:rsidRDefault="002A4288">
      <w:pPr>
        <w:rPr>
          <w:rFonts w:ascii="Arial Bold" w:eastAsia="Arial Bold" w:hAnsi="Arial Bold" w:cs="Arial Bold"/>
          <w:sz w:val="22"/>
          <w:szCs w:val="22"/>
        </w:rPr>
      </w:pPr>
    </w:p>
    <w:p w:rsidR="002A4288" w:rsidRDefault="002A4288">
      <w:pPr>
        <w:rPr>
          <w:rFonts w:ascii="Arial Bold" w:eastAsia="Arial Bold" w:hAnsi="Arial Bold" w:cs="Arial Bold"/>
          <w:sz w:val="22"/>
          <w:szCs w:val="22"/>
        </w:rPr>
      </w:pPr>
    </w:p>
    <w:p w:rsidR="002A4288" w:rsidRDefault="002A4288" w:rsidP="002A4288">
      <w:pPr>
        <w:rPr>
          <w:rFonts w:ascii="Arial Bold"/>
          <w:sz w:val="22"/>
          <w:szCs w:val="22"/>
        </w:rPr>
      </w:pPr>
    </w:p>
    <w:p w:rsidR="005C41A1" w:rsidRDefault="005C41A1" w:rsidP="005C41A1">
      <w:pPr>
        <w:rPr>
          <w:rFonts w:ascii="Arial Bold" w:eastAsia="Arial Bold" w:hAnsi="Arial Bold" w:cs="Arial Bold"/>
          <w:sz w:val="22"/>
          <w:szCs w:val="22"/>
        </w:rPr>
      </w:pPr>
    </w:p>
    <w:p w:rsidR="004A1F8B" w:rsidRDefault="004A1F8B" w:rsidP="004A1F8B">
      <w:pPr>
        <w:rPr>
          <w:rFonts w:ascii="Arial Bold" w:eastAsia="Arial Bold" w:hAnsi="Arial Bold" w:cs="Arial Bold"/>
          <w:sz w:val="22"/>
          <w:szCs w:val="22"/>
        </w:rPr>
      </w:pPr>
    </w:p>
    <w:p w:rsidR="003B7F1F" w:rsidRPr="005C41A1" w:rsidRDefault="003B7F1F" w:rsidP="004A1F8B">
      <w:pPr>
        <w:jc w:val="center"/>
        <w:rPr>
          <w:rFonts w:ascii="Arial Bold" w:eastAsia="Arial Bold" w:hAnsi="Arial Bold" w:cs="Arial Bold"/>
          <w:color w:val="000000"/>
          <w:sz w:val="22"/>
          <w:szCs w:val="22"/>
          <w:u w:color="000000"/>
          <w:lang w:val="en-GB" w:eastAsia="en-GB"/>
        </w:rPr>
      </w:pPr>
      <w:r>
        <w:rPr>
          <w:rFonts w:ascii="Arial Bold"/>
          <w:sz w:val="22"/>
          <w:szCs w:val="22"/>
        </w:rPr>
        <w:lastRenderedPageBreak/>
        <w:t>Glasgow East Arts Company Limited</w:t>
      </w:r>
    </w:p>
    <w:p w:rsidR="003B7F1F" w:rsidRDefault="003B7F1F" w:rsidP="003B7F1F">
      <w:pPr>
        <w:pStyle w:val="BodyA"/>
        <w:jc w:val="center"/>
        <w:rPr>
          <w:rFonts w:ascii="Arial" w:eastAsia="Arial" w:hAnsi="Arial" w:cs="Arial"/>
          <w:sz w:val="22"/>
          <w:szCs w:val="22"/>
        </w:rPr>
      </w:pPr>
    </w:p>
    <w:p w:rsidR="003B7F1F" w:rsidRPr="003B7F1F" w:rsidRDefault="003B7F1F" w:rsidP="003B7F1F">
      <w:pPr>
        <w:pStyle w:val="Body"/>
        <w:spacing w:after="160" w:line="259" w:lineRule="auto"/>
        <w:jc w:val="center"/>
      </w:pPr>
      <w:r>
        <w:rPr>
          <w:rFonts w:ascii="Arial Bold" w:eastAsia="Arial Bold" w:hAnsi="Arial Bold" w:cs="Arial Bold"/>
          <w:sz w:val="22"/>
          <w:szCs w:val="22"/>
        </w:rPr>
        <w:t>FURTHER INFORMATION</w:t>
      </w:r>
    </w:p>
    <w:p w:rsidR="003B7F1F" w:rsidRDefault="003B7F1F" w:rsidP="003B7F1F">
      <w:pPr>
        <w:pStyle w:val="BodyA"/>
        <w:tabs>
          <w:tab w:val="center" w:pos="4590"/>
          <w:tab w:val="left" w:pos="6525"/>
        </w:tabs>
        <w:jc w:val="center"/>
        <w:rPr>
          <w:rFonts w:ascii="Arial Bold" w:eastAsia="Arial Bold" w:hAnsi="Arial Bold" w:cs="Arial Bold"/>
          <w:sz w:val="22"/>
          <w:szCs w:val="22"/>
        </w:rPr>
      </w:pPr>
      <w:r>
        <w:rPr>
          <w:rFonts w:ascii="Arial Bold"/>
          <w:sz w:val="22"/>
          <w:szCs w:val="22"/>
        </w:rPr>
        <w:t>Community Organiser, Thriving Places Initiative</w:t>
      </w:r>
    </w:p>
    <w:p w:rsidR="007841E1" w:rsidRPr="001B51B1" w:rsidRDefault="007841E1">
      <w:pPr>
        <w:pStyle w:val="Body"/>
        <w:rPr>
          <w:rFonts w:ascii="Arial Bold" w:eastAsia="Arial Bold" w:hAnsi="Arial Bold" w:cs="Arial Bold"/>
          <w:color w:val="auto"/>
          <w:sz w:val="22"/>
          <w:szCs w:val="22"/>
        </w:rPr>
      </w:pPr>
    </w:p>
    <w:p w:rsidR="007841E1" w:rsidRPr="001B51B1" w:rsidRDefault="00C5586E">
      <w:pPr>
        <w:pStyle w:val="Body"/>
        <w:rPr>
          <w:color w:val="auto"/>
          <w:sz w:val="22"/>
          <w:szCs w:val="22"/>
        </w:rPr>
      </w:pPr>
      <w:r w:rsidRPr="001B51B1">
        <w:rPr>
          <w:color w:val="auto"/>
          <w:sz w:val="22"/>
          <w:szCs w:val="22"/>
          <w:lang w:val="en-US"/>
        </w:rPr>
        <w:t xml:space="preserve">Glasgow East Arts Company (GEAC), on behalf of Glasgow Community Planning Partnership (GCPP) is looking to recruit a Community Organiser to take forward the </w:t>
      </w:r>
      <w:r w:rsidRPr="001B51B1">
        <w:rPr>
          <w:i/>
          <w:iCs/>
          <w:color w:val="auto"/>
          <w:sz w:val="22"/>
          <w:szCs w:val="22"/>
          <w:lang w:val="en-US"/>
        </w:rPr>
        <w:t>Thriving Places</w:t>
      </w:r>
      <w:r w:rsidRPr="001B51B1">
        <w:rPr>
          <w:color w:val="auto"/>
          <w:sz w:val="22"/>
          <w:szCs w:val="22"/>
          <w:lang w:val="en-US"/>
        </w:rPr>
        <w:t xml:space="preserve"> initiative in Easterhouse (a map</w:t>
      </w:r>
      <w:r w:rsidR="001B51B1">
        <w:rPr>
          <w:color w:val="auto"/>
          <w:sz w:val="22"/>
          <w:szCs w:val="22"/>
          <w:lang w:val="en-US"/>
        </w:rPr>
        <w:t xml:space="preserve"> of the Thriving Places area at the end of this document</w:t>
      </w:r>
      <w:r w:rsidRPr="001B51B1">
        <w:rPr>
          <w:color w:val="auto"/>
          <w:sz w:val="22"/>
          <w:szCs w:val="22"/>
          <w:lang w:val="en-US"/>
        </w:rPr>
        <w:t>).  Thriving Places is a ten year, place-based approach to persistent deprivation in many of Glasgow</w:t>
      </w:r>
      <w:r w:rsidRPr="001B51B1">
        <w:rPr>
          <w:rFonts w:ascii="Arial Unicode MS" w:hAnsi="Arial"/>
          <w:color w:val="auto"/>
          <w:sz w:val="22"/>
          <w:szCs w:val="22"/>
          <w:lang w:val="fr-FR"/>
        </w:rPr>
        <w:t>’</w:t>
      </w:r>
      <w:r w:rsidRPr="001B51B1">
        <w:rPr>
          <w:color w:val="auto"/>
          <w:sz w:val="22"/>
          <w:szCs w:val="22"/>
          <w:lang w:val="en-US"/>
        </w:rPr>
        <w:t>s communities and a key part of GCPP</w:t>
      </w:r>
      <w:r w:rsidRPr="001B51B1">
        <w:rPr>
          <w:rFonts w:ascii="Arial Unicode MS" w:hAnsi="Arial"/>
          <w:color w:val="auto"/>
          <w:sz w:val="22"/>
          <w:szCs w:val="22"/>
          <w:lang w:val="fr-FR"/>
        </w:rPr>
        <w:t>’</w:t>
      </w:r>
      <w:r w:rsidRPr="001B51B1">
        <w:rPr>
          <w:color w:val="auto"/>
          <w:sz w:val="22"/>
          <w:szCs w:val="22"/>
          <w:lang w:val="en-US"/>
        </w:rPr>
        <w:t>s Single Outcome Agreement (SOA).  The extract from the SOA</w:t>
      </w:r>
      <w:r w:rsidR="001B51B1">
        <w:rPr>
          <w:color w:val="auto"/>
          <w:sz w:val="22"/>
          <w:szCs w:val="22"/>
          <w:lang w:val="en-US"/>
        </w:rPr>
        <w:t xml:space="preserve"> below</w:t>
      </w:r>
      <w:r w:rsidRPr="001B51B1">
        <w:rPr>
          <w:color w:val="auto"/>
          <w:sz w:val="22"/>
          <w:szCs w:val="22"/>
          <w:lang w:val="en-US"/>
        </w:rPr>
        <w:t xml:space="preserve"> provides further information on Thriving Places.</w:t>
      </w:r>
    </w:p>
    <w:p w:rsidR="007841E1" w:rsidRPr="001B51B1" w:rsidRDefault="007841E1">
      <w:pPr>
        <w:pStyle w:val="Body"/>
        <w:rPr>
          <w:color w:val="auto"/>
          <w:sz w:val="22"/>
          <w:szCs w:val="22"/>
        </w:rPr>
      </w:pPr>
    </w:p>
    <w:p w:rsidR="007841E1" w:rsidRPr="001B51B1" w:rsidRDefault="00C5586E">
      <w:pPr>
        <w:pStyle w:val="Body"/>
        <w:rPr>
          <w:color w:val="auto"/>
          <w:sz w:val="22"/>
          <w:szCs w:val="22"/>
        </w:rPr>
      </w:pPr>
      <w:r w:rsidRPr="001B51B1">
        <w:rPr>
          <w:color w:val="auto"/>
          <w:sz w:val="22"/>
          <w:szCs w:val="22"/>
          <w:lang w:val="en-US"/>
        </w:rPr>
        <w:t>Further information on the role of the Community Organiser is outlined in the GCPP Executive Group paper</w:t>
      </w:r>
      <w:r w:rsidR="001B51B1">
        <w:rPr>
          <w:color w:val="auto"/>
          <w:sz w:val="22"/>
          <w:szCs w:val="22"/>
          <w:lang w:val="en-US"/>
        </w:rPr>
        <w:t xml:space="preserve"> also below</w:t>
      </w:r>
      <w:r w:rsidRPr="001B51B1">
        <w:rPr>
          <w:color w:val="auto"/>
          <w:sz w:val="22"/>
          <w:szCs w:val="22"/>
          <w:lang w:val="en-US"/>
        </w:rPr>
        <w:t xml:space="preserve">.  The post is funded until </w:t>
      </w:r>
      <w:r w:rsidR="000C3A86" w:rsidRPr="001B51B1">
        <w:rPr>
          <w:color w:val="auto"/>
          <w:sz w:val="22"/>
          <w:szCs w:val="22"/>
          <w:lang w:val="en-US"/>
        </w:rPr>
        <w:t>31</w:t>
      </w:r>
      <w:r w:rsidRPr="001B51B1">
        <w:rPr>
          <w:color w:val="auto"/>
          <w:sz w:val="22"/>
          <w:szCs w:val="22"/>
          <w:lang w:val="en-US"/>
        </w:rPr>
        <w:t xml:space="preserve"> March 2017 (and may be extended subject to funding).  </w:t>
      </w:r>
    </w:p>
    <w:p w:rsidR="007841E1" w:rsidRPr="001B51B1" w:rsidRDefault="007841E1">
      <w:pPr>
        <w:pStyle w:val="Body"/>
        <w:rPr>
          <w:color w:val="auto"/>
          <w:sz w:val="22"/>
          <w:szCs w:val="22"/>
        </w:rPr>
      </w:pPr>
    </w:p>
    <w:p w:rsidR="007841E1" w:rsidRPr="001B51B1" w:rsidRDefault="00C5586E">
      <w:pPr>
        <w:pStyle w:val="Body"/>
        <w:rPr>
          <w:color w:val="auto"/>
          <w:sz w:val="22"/>
          <w:szCs w:val="22"/>
        </w:rPr>
      </w:pPr>
      <w:r w:rsidRPr="001B51B1">
        <w:rPr>
          <w:color w:val="auto"/>
          <w:sz w:val="22"/>
          <w:szCs w:val="22"/>
          <w:lang w:val="en-US"/>
        </w:rPr>
        <w:t>The postholder will work with local residents to support the development of local skills and knowledge and to support residents to act as local agents for change, which may include engaging with partners.  S/he will work with a range of GCPP partner organisations and structures to achieve the Thriving Places objectives.</w:t>
      </w:r>
    </w:p>
    <w:p w:rsidR="007841E1" w:rsidRDefault="007841E1">
      <w:pPr>
        <w:pStyle w:val="Body"/>
        <w:spacing w:after="160" w:line="259" w:lineRule="auto"/>
      </w:pPr>
    </w:p>
    <w:p w:rsidR="00CB61B3" w:rsidRDefault="00CB61B3">
      <w:pPr>
        <w:pStyle w:val="Body"/>
        <w:spacing w:after="160" w:line="259" w:lineRule="auto"/>
        <w:sectPr w:rsidR="00CB61B3" w:rsidSect="003B7F1F">
          <w:headerReference w:type="default" r:id="rId11"/>
          <w:footerReference w:type="default" r:id="rId12"/>
          <w:pgSz w:w="12240" w:h="15840"/>
          <w:pgMar w:top="1440" w:right="1440" w:bottom="1276" w:left="1440" w:header="720" w:footer="720" w:gutter="0"/>
          <w:cols w:space="720"/>
        </w:sectPr>
      </w:pPr>
    </w:p>
    <w:p w:rsidR="007841E1" w:rsidRDefault="00C5586E">
      <w:pPr>
        <w:pStyle w:val="Body"/>
        <w:pBdr>
          <w:top w:val="single" w:sz="4" w:space="0" w:color="000000"/>
          <w:left w:val="single" w:sz="4" w:space="0" w:color="000000"/>
          <w:bottom w:val="single" w:sz="4" w:space="0" w:color="000000"/>
          <w:right w:val="single" w:sz="4" w:space="0" w:color="000000"/>
        </w:pBdr>
        <w:jc w:val="both"/>
        <w:rPr>
          <w:rFonts w:ascii="Arial Bold" w:eastAsia="Arial Bold" w:hAnsi="Arial Bold" w:cs="Arial Bold"/>
          <w:sz w:val="22"/>
          <w:szCs w:val="22"/>
        </w:rPr>
      </w:pPr>
      <w:r>
        <w:rPr>
          <w:rFonts w:ascii="Arial Bold"/>
          <w:sz w:val="22"/>
          <w:szCs w:val="22"/>
          <w:lang w:val="en-US"/>
        </w:rPr>
        <w:t>Excerpt from Glasgow</w:t>
      </w:r>
      <w:r>
        <w:rPr>
          <w:rFonts w:hAnsi="Arial Bold"/>
          <w:sz w:val="22"/>
          <w:szCs w:val="22"/>
          <w:lang w:val="fr-FR"/>
        </w:rPr>
        <w:t>’</w:t>
      </w:r>
      <w:r>
        <w:rPr>
          <w:rFonts w:ascii="Arial Bold"/>
          <w:sz w:val="22"/>
          <w:szCs w:val="22"/>
          <w:lang w:val="en-US"/>
        </w:rPr>
        <w:t>s Single Outcome Agreement</w:t>
      </w:r>
    </w:p>
    <w:p w:rsidR="007841E1" w:rsidRDefault="00C5586E">
      <w:pPr>
        <w:pStyle w:val="Body"/>
        <w:pBdr>
          <w:top w:val="single" w:sz="4" w:space="0" w:color="000000"/>
          <w:left w:val="single" w:sz="4" w:space="0" w:color="000000"/>
          <w:bottom w:val="single" w:sz="4" w:space="0" w:color="000000"/>
          <w:right w:val="single" w:sz="4" w:space="0" w:color="000000"/>
        </w:pBdr>
        <w:jc w:val="both"/>
        <w:rPr>
          <w:sz w:val="22"/>
          <w:szCs w:val="22"/>
        </w:rPr>
      </w:pPr>
      <w:r>
        <w:rPr>
          <w:sz w:val="22"/>
          <w:szCs w:val="22"/>
        </w:rPr>
        <w:t>August 2013</w:t>
      </w:r>
    </w:p>
    <w:p w:rsidR="007841E1" w:rsidRDefault="007841E1">
      <w:pPr>
        <w:pStyle w:val="Body"/>
        <w:ind w:left="1080"/>
        <w:jc w:val="both"/>
        <w:rPr>
          <w:sz w:val="22"/>
          <w:szCs w:val="22"/>
        </w:rPr>
      </w:pPr>
    </w:p>
    <w:p w:rsidR="007841E1" w:rsidRDefault="00C5586E" w:rsidP="00C5586E">
      <w:pPr>
        <w:pStyle w:val="Body"/>
        <w:numPr>
          <w:ilvl w:val="0"/>
          <w:numId w:val="36"/>
        </w:numPr>
        <w:tabs>
          <w:tab w:val="clear" w:pos="1080"/>
          <w:tab w:val="num" w:pos="982"/>
        </w:tabs>
        <w:ind w:left="982" w:hanging="982"/>
        <w:jc w:val="both"/>
        <w:rPr>
          <w:sz w:val="22"/>
          <w:szCs w:val="22"/>
        </w:rPr>
      </w:pPr>
      <w:r>
        <w:rPr>
          <w:rFonts w:ascii="Arial Bold"/>
          <w:sz w:val="22"/>
          <w:szCs w:val="22"/>
          <w:lang w:val="en-US"/>
        </w:rPr>
        <w:t>Thriving Places: An intensive Neighbourhood Approach</w:t>
      </w:r>
    </w:p>
    <w:p w:rsidR="00CB61B3" w:rsidRDefault="00CB61B3">
      <w:pPr>
        <w:pStyle w:val="Body"/>
        <w:jc w:val="both"/>
        <w:rPr>
          <w:sz w:val="22"/>
          <w:szCs w:val="22"/>
          <w:lang w:val="en-US"/>
        </w:rPr>
      </w:pPr>
    </w:p>
    <w:p w:rsidR="007841E1" w:rsidRDefault="00C5586E">
      <w:pPr>
        <w:pStyle w:val="Body"/>
        <w:jc w:val="both"/>
        <w:rPr>
          <w:sz w:val="22"/>
          <w:szCs w:val="22"/>
        </w:rPr>
      </w:pPr>
      <w:r>
        <w:rPr>
          <w:sz w:val="22"/>
          <w:szCs w:val="22"/>
          <w:lang w:val="en-US"/>
        </w:rPr>
        <w:t xml:space="preserve">This SOA includes a commitment by us to support a range of specific neighbourhoods and communities within Glasgow in order to accelerate better outcomes for all our residents. This is driven by clear evidence that shows that inequality persists for some Glaswegians. </w:t>
      </w:r>
    </w:p>
    <w:p w:rsidR="007841E1" w:rsidRDefault="007841E1">
      <w:pPr>
        <w:pStyle w:val="Body"/>
        <w:jc w:val="both"/>
        <w:rPr>
          <w:sz w:val="22"/>
          <w:szCs w:val="22"/>
        </w:rPr>
      </w:pPr>
    </w:p>
    <w:p w:rsidR="007841E1" w:rsidRDefault="00C5586E">
      <w:pPr>
        <w:pStyle w:val="Body"/>
        <w:jc w:val="both"/>
        <w:rPr>
          <w:sz w:val="22"/>
          <w:szCs w:val="22"/>
        </w:rPr>
      </w:pPr>
      <w:r>
        <w:rPr>
          <w:sz w:val="22"/>
          <w:szCs w:val="22"/>
          <w:lang w:val="en-US"/>
        </w:rPr>
        <w:t xml:space="preserve">The approach to be undertaken in these areas will be complementary to those outlined for each of the three core SOA priorities, which we expect to be achieved city-wide. However, the neighbourhood approach recognises that for some neighbourhoods and communities, the issues are often more complex and multi-layered. Therefore the solutions for these neighbourhoods need to be more flexible and </w:t>
      </w:r>
      <w:r w:rsidR="000C3A86">
        <w:rPr>
          <w:sz w:val="22"/>
          <w:szCs w:val="22"/>
          <w:lang w:val="en-US"/>
        </w:rPr>
        <w:t>focused</w:t>
      </w:r>
      <w:r>
        <w:rPr>
          <w:sz w:val="22"/>
          <w:szCs w:val="22"/>
          <w:lang w:val="en-US"/>
        </w:rPr>
        <w:t xml:space="preserve">. This section sets out an approach that will make best use of the full range of resources and assets of the CPP to deliver better outcomes for these neighbourhoods. </w:t>
      </w:r>
    </w:p>
    <w:p w:rsidR="007841E1" w:rsidRDefault="007841E1">
      <w:pPr>
        <w:pStyle w:val="Body"/>
        <w:jc w:val="both"/>
        <w:rPr>
          <w:rFonts w:ascii="Arial Bold" w:eastAsia="Arial Bold" w:hAnsi="Arial Bold" w:cs="Arial Bold"/>
          <w:sz w:val="22"/>
          <w:szCs w:val="22"/>
        </w:rPr>
      </w:pPr>
    </w:p>
    <w:p w:rsidR="007841E1" w:rsidRDefault="00C5586E">
      <w:pPr>
        <w:pStyle w:val="Body"/>
        <w:jc w:val="both"/>
        <w:rPr>
          <w:rFonts w:ascii="Arial Bold"/>
          <w:sz w:val="22"/>
          <w:szCs w:val="22"/>
          <w:lang w:val="en-US"/>
        </w:rPr>
      </w:pPr>
      <w:r>
        <w:rPr>
          <w:rFonts w:ascii="Arial Bold"/>
          <w:sz w:val="22"/>
          <w:szCs w:val="22"/>
          <w:lang w:val="en-US"/>
        </w:rPr>
        <w:t>The evidence</w:t>
      </w:r>
    </w:p>
    <w:p w:rsidR="00CB61B3" w:rsidRDefault="00CB61B3">
      <w:pPr>
        <w:pStyle w:val="Body"/>
        <w:jc w:val="both"/>
        <w:rPr>
          <w:rFonts w:ascii="Arial Bold" w:eastAsia="Arial Bold" w:hAnsi="Arial Bold" w:cs="Arial Bold"/>
          <w:sz w:val="22"/>
          <w:szCs w:val="22"/>
        </w:rPr>
      </w:pPr>
    </w:p>
    <w:p w:rsidR="007841E1" w:rsidRDefault="00C5586E">
      <w:pPr>
        <w:pStyle w:val="Body"/>
        <w:jc w:val="both"/>
        <w:rPr>
          <w:sz w:val="22"/>
          <w:szCs w:val="22"/>
        </w:rPr>
      </w:pPr>
      <w:r>
        <w:rPr>
          <w:sz w:val="22"/>
          <w:szCs w:val="22"/>
          <w:lang w:val="en-US"/>
        </w:rPr>
        <w:t xml:space="preserve">Glasgow is a better place to live, work and visit and the lives of residents have been materially improved since 2004 when the Community Planning Partnership formed </w:t>
      </w:r>
      <w:r>
        <w:rPr>
          <w:rFonts w:hAnsi="Arial"/>
          <w:sz w:val="22"/>
          <w:szCs w:val="22"/>
        </w:rPr>
        <w:t xml:space="preserve">– </w:t>
      </w:r>
      <w:r>
        <w:rPr>
          <w:sz w:val="22"/>
          <w:szCs w:val="22"/>
          <w:lang w:val="en-US"/>
        </w:rPr>
        <w:t xml:space="preserve">more people are economically active and in work, educational attainment and achievement is at its highest recorded level, health in general has improved and more residents are engaged in healthy behaviours, communities are safer, and our environment is cleaner.  </w:t>
      </w:r>
    </w:p>
    <w:p w:rsidR="007841E1" w:rsidRDefault="007841E1">
      <w:pPr>
        <w:pStyle w:val="Body"/>
        <w:jc w:val="both"/>
        <w:rPr>
          <w:sz w:val="22"/>
          <w:szCs w:val="22"/>
        </w:rPr>
      </w:pPr>
    </w:p>
    <w:p w:rsidR="007841E1" w:rsidRDefault="00C5586E">
      <w:pPr>
        <w:pStyle w:val="Body"/>
        <w:jc w:val="both"/>
        <w:rPr>
          <w:sz w:val="22"/>
          <w:szCs w:val="22"/>
        </w:rPr>
      </w:pPr>
      <w:r>
        <w:rPr>
          <w:sz w:val="22"/>
          <w:szCs w:val="22"/>
          <w:lang w:val="en-US"/>
        </w:rPr>
        <w:t xml:space="preserve">The Scottish Index of Multiple Deprivation (SIMD) provides a comprehensive measure of relative deprivation across Scotland, and reflects multiple aspects of the lives of residents living in local communities. In 2004, the SIMD indicated that over half (53%) of Glasgow residents lived in neighbourhoods deemed to be amongst the most deprived in Scotland (i.e. bottom 15%). By 2012, this had dropped to 39% of residents, or put another way, 75,000 fewer residents were living in a </w:t>
      </w:r>
      <w:r>
        <w:rPr>
          <w:sz w:val="22"/>
          <w:szCs w:val="22"/>
          <w:lang w:val="en-US"/>
        </w:rPr>
        <w:lastRenderedPageBreak/>
        <w:t xml:space="preserve">most deprived area. The reductions were thanks in part to those improvements outlined above </w:t>
      </w:r>
      <w:r>
        <w:rPr>
          <w:rFonts w:hAnsi="Arial"/>
          <w:sz w:val="22"/>
          <w:szCs w:val="22"/>
        </w:rPr>
        <w:t xml:space="preserve">– </w:t>
      </w:r>
      <w:r>
        <w:rPr>
          <w:sz w:val="22"/>
          <w:szCs w:val="22"/>
          <w:lang w:val="en-US"/>
        </w:rPr>
        <w:t xml:space="preserve">overall, Glaswegians are more economically active, better educated, healthier, and safer. </w:t>
      </w:r>
    </w:p>
    <w:p w:rsidR="007841E1" w:rsidRDefault="007841E1">
      <w:pPr>
        <w:pStyle w:val="Body"/>
        <w:jc w:val="both"/>
        <w:rPr>
          <w:sz w:val="22"/>
          <w:szCs w:val="22"/>
        </w:rPr>
      </w:pPr>
    </w:p>
    <w:p w:rsidR="007841E1" w:rsidRDefault="00C5586E">
      <w:pPr>
        <w:pStyle w:val="Body"/>
        <w:jc w:val="both"/>
        <w:rPr>
          <w:sz w:val="22"/>
          <w:szCs w:val="22"/>
        </w:rPr>
      </w:pPr>
      <w:r>
        <w:rPr>
          <w:sz w:val="22"/>
          <w:szCs w:val="22"/>
          <w:lang w:val="en-US"/>
        </w:rPr>
        <w:t xml:space="preserve">However, inequalities continue in the city and not all Glaswegians have experienced the overall improvements in standards. For too many, the improvements made have not come about quickly enough, and indeed for some, inequalities have actually grown over the same period. The very same evidence that demonstrates the overall improvements in the experiences of ordinary Glaswegians also illustrates the challenges for Glasgow. </w:t>
      </w:r>
    </w:p>
    <w:p w:rsidR="007841E1" w:rsidRDefault="007841E1">
      <w:pPr>
        <w:pStyle w:val="Body"/>
        <w:jc w:val="both"/>
        <w:rPr>
          <w:sz w:val="22"/>
          <w:szCs w:val="22"/>
        </w:rPr>
      </w:pPr>
    </w:p>
    <w:p w:rsidR="007841E1" w:rsidRDefault="00C5586E">
      <w:pPr>
        <w:pStyle w:val="Body"/>
        <w:jc w:val="both"/>
        <w:rPr>
          <w:sz w:val="22"/>
          <w:szCs w:val="22"/>
        </w:rPr>
      </w:pPr>
      <w:r>
        <w:rPr>
          <w:sz w:val="22"/>
          <w:szCs w:val="22"/>
          <w:lang w:val="en-US"/>
        </w:rPr>
        <w:t xml:space="preserve">The city still contains almost half (46%) of the most deprived (5%) neighbourhoods (Data Zones) in the country. Additionally, 124 local Data Zones have remained </w:t>
      </w:r>
      <w:r>
        <w:rPr>
          <w:rFonts w:hAnsi="Arial"/>
          <w:sz w:val="22"/>
          <w:szCs w:val="22"/>
        </w:rPr>
        <w:t>‘</w:t>
      </w:r>
      <w:r>
        <w:rPr>
          <w:sz w:val="22"/>
          <w:szCs w:val="22"/>
        </w:rPr>
        <w:t>stuck</w:t>
      </w:r>
      <w:r>
        <w:rPr>
          <w:rFonts w:hAnsi="Arial"/>
          <w:sz w:val="22"/>
          <w:szCs w:val="22"/>
          <w:lang w:val="fr-FR"/>
        </w:rPr>
        <w:t xml:space="preserve">’ </w:t>
      </w:r>
      <w:r>
        <w:rPr>
          <w:sz w:val="22"/>
          <w:szCs w:val="22"/>
          <w:lang w:val="en-US"/>
        </w:rPr>
        <w:t xml:space="preserve">in the bottom 5% ranked most deprived areas across Scotland since every release of the SIMD since 2004 </w:t>
      </w:r>
      <w:r>
        <w:rPr>
          <w:rFonts w:hAnsi="Arial"/>
          <w:sz w:val="22"/>
          <w:szCs w:val="22"/>
        </w:rPr>
        <w:t xml:space="preserve">– </w:t>
      </w:r>
      <w:r>
        <w:rPr>
          <w:sz w:val="22"/>
          <w:szCs w:val="22"/>
          <w:lang w:val="en-US"/>
        </w:rPr>
        <w:t xml:space="preserve">these neighbourhoods and many of the residents who live there do not appear to have enjoyed the same improvements experienced by fellow Glaswegians. </w:t>
      </w:r>
    </w:p>
    <w:p w:rsidR="007841E1" w:rsidRDefault="007841E1">
      <w:pPr>
        <w:pStyle w:val="Body"/>
        <w:jc w:val="both"/>
        <w:rPr>
          <w:sz w:val="22"/>
          <w:szCs w:val="22"/>
        </w:rPr>
      </w:pPr>
    </w:p>
    <w:p w:rsidR="007841E1" w:rsidRDefault="00C5586E">
      <w:pPr>
        <w:pStyle w:val="Body"/>
        <w:jc w:val="both"/>
        <w:rPr>
          <w:sz w:val="22"/>
          <w:szCs w:val="22"/>
        </w:rPr>
      </w:pPr>
      <w:r>
        <w:rPr>
          <w:sz w:val="22"/>
          <w:szCs w:val="22"/>
          <w:lang w:val="en-US"/>
        </w:rPr>
        <w:t xml:space="preserve">A wealth of data and research has been conducted in Glasgow to examine why some neighbourhoods and communities fair worse than others. For example, the </w:t>
      </w:r>
      <w:r>
        <w:rPr>
          <w:i/>
          <w:iCs/>
          <w:sz w:val="22"/>
          <w:szCs w:val="22"/>
          <w:lang w:val="en-US"/>
        </w:rPr>
        <w:t>Understanding Glasgow</w:t>
      </w:r>
      <w:r>
        <w:rPr>
          <w:sz w:val="22"/>
          <w:szCs w:val="22"/>
          <w:lang w:val="en-US"/>
        </w:rPr>
        <w:t xml:space="preserve"> Indicators Project demonstrates persistent and increasing inequalities within Glasgow over the last decade, with some neighbourhoods experiencing poor outcomes across a wide range of indicators.  </w:t>
      </w:r>
    </w:p>
    <w:p w:rsidR="007841E1" w:rsidRDefault="007841E1">
      <w:pPr>
        <w:pStyle w:val="Body"/>
        <w:jc w:val="both"/>
        <w:rPr>
          <w:sz w:val="22"/>
          <w:szCs w:val="22"/>
        </w:rPr>
      </w:pPr>
    </w:p>
    <w:p w:rsidR="007841E1" w:rsidRDefault="00C5586E">
      <w:pPr>
        <w:pStyle w:val="Body"/>
        <w:jc w:val="both"/>
        <w:rPr>
          <w:sz w:val="22"/>
          <w:szCs w:val="22"/>
        </w:rPr>
      </w:pPr>
      <w:r>
        <w:rPr>
          <w:sz w:val="22"/>
          <w:szCs w:val="22"/>
          <w:lang w:val="en-US"/>
        </w:rPr>
        <w:t>A qualitative research study</w:t>
      </w:r>
      <w:r>
        <w:rPr>
          <w:rFonts w:ascii="Times New Roman" w:eastAsia="Times New Roman" w:hAnsi="Times New Roman" w:cs="Times New Roman"/>
          <w:sz w:val="22"/>
          <w:szCs w:val="22"/>
          <w:vertAlign w:val="superscript"/>
        </w:rPr>
        <w:footnoteReference w:id="2"/>
      </w:r>
      <w:r>
        <w:rPr>
          <w:sz w:val="22"/>
          <w:szCs w:val="22"/>
          <w:lang w:val="en-US"/>
        </w:rPr>
        <w:t xml:space="preserve"> in some of those areas that have remained stuck found just how multi-dimensional and complex issues surrounding persistent deprivation are. Factors such as health, education, employment, crime and housing emerged as key themes. However, the report authors also reflected on a number of other recurring but more intangible themes present - aspects of aspiration, confidence, resilience and self esteem that were expressed throughout their interviews in all areas, coupled with issues of territorialism, insularity and stigma.  </w:t>
      </w:r>
    </w:p>
    <w:p w:rsidR="007841E1" w:rsidRDefault="007841E1">
      <w:pPr>
        <w:pStyle w:val="Body"/>
        <w:jc w:val="both"/>
        <w:rPr>
          <w:sz w:val="22"/>
          <w:szCs w:val="22"/>
        </w:rPr>
      </w:pPr>
    </w:p>
    <w:p w:rsidR="007841E1" w:rsidRDefault="00C5586E">
      <w:pPr>
        <w:pStyle w:val="Body"/>
        <w:jc w:val="both"/>
        <w:rPr>
          <w:sz w:val="22"/>
          <w:szCs w:val="22"/>
        </w:rPr>
      </w:pPr>
      <w:r>
        <w:rPr>
          <w:sz w:val="22"/>
          <w:szCs w:val="22"/>
          <w:lang w:val="en-US"/>
        </w:rPr>
        <w:t xml:space="preserve">Research such as this confirms that increased levels of investment in conventional public services cannot alone provide the solutions to addressing levels of inequality in particular communities. Indeed, analysis of investment in public services shows that some of these areas displaying persistent and long term deprivation have received above average levels of physical investment. The conclusion for Community Planning Partners is that there is not necessarily a </w:t>
      </w:r>
      <w:r>
        <w:rPr>
          <w:rFonts w:hAnsi="Arial"/>
          <w:sz w:val="22"/>
          <w:szCs w:val="22"/>
        </w:rPr>
        <w:t>‘</w:t>
      </w:r>
      <w:r>
        <w:rPr>
          <w:sz w:val="22"/>
          <w:szCs w:val="22"/>
        </w:rPr>
        <w:t>silver bullet</w:t>
      </w:r>
      <w:r>
        <w:rPr>
          <w:rFonts w:hAnsi="Arial"/>
          <w:sz w:val="22"/>
          <w:szCs w:val="22"/>
          <w:lang w:val="fr-FR"/>
        </w:rPr>
        <w:t xml:space="preserve">’ </w:t>
      </w:r>
      <w:r>
        <w:rPr>
          <w:sz w:val="22"/>
          <w:szCs w:val="22"/>
          <w:lang w:val="en-US"/>
        </w:rPr>
        <w:t xml:space="preserve">or one-size-fits-all solution to tackling deprivation in Glasgow. </w:t>
      </w:r>
    </w:p>
    <w:p w:rsidR="007841E1" w:rsidRDefault="007841E1">
      <w:pPr>
        <w:pStyle w:val="Body"/>
        <w:jc w:val="both"/>
        <w:rPr>
          <w:sz w:val="22"/>
          <w:szCs w:val="22"/>
        </w:rPr>
      </w:pPr>
    </w:p>
    <w:p w:rsidR="007841E1" w:rsidRDefault="00C5586E">
      <w:pPr>
        <w:pStyle w:val="Body"/>
        <w:jc w:val="both"/>
        <w:rPr>
          <w:rFonts w:ascii="Arial Bold"/>
          <w:sz w:val="22"/>
          <w:szCs w:val="22"/>
          <w:lang w:val="de-DE"/>
        </w:rPr>
      </w:pPr>
      <w:r>
        <w:rPr>
          <w:rFonts w:ascii="Arial Bold"/>
          <w:sz w:val="22"/>
          <w:szCs w:val="22"/>
          <w:lang w:val="de-DE"/>
        </w:rPr>
        <w:t>Our Response</w:t>
      </w:r>
    </w:p>
    <w:p w:rsidR="00CB61B3" w:rsidRDefault="00CB61B3">
      <w:pPr>
        <w:pStyle w:val="Body"/>
        <w:jc w:val="both"/>
        <w:rPr>
          <w:rFonts w:ascii="Arial Bold" w:eastAsia="Arial Bold" w:hAnsi="Arial Bold" w:cs="Arial Bold"/>
          <w:sz w:val="22"/>
          <w:szCs w:val="22"/>
        </w:rPr>
      </w:pPr>
    </w:p>
    <w:p w:rsidR="007841E1" w:rsidRDefault="00C5586E">
      <w:pPr>
        <w:pStyle w:val="Body"/>
        <w:jc w:val="both"/>
        <w:rPr>
          <w:sz w:val="22"/>
          <w:szCs w:val="22"/>
        </w:rPr>
      </w:pPr>
      <w:r>
        <w:rPr>
          <w:sz w:val="22"/>
          <w:szCs w:val="22"/>
          <w:lang w:val="en-US"/>
        </w:rPr>
        <w:t xml:space="preserve">Consequently, we will adopt a different approach to support for these communities over the next decade. The challenge is to adopt a new way of working amongst service providers, working side by side with communities, to make better use of existing resources and assets, many of which are already embedded in communities themselves. Our aim is to develop and support thriving communities all across Glasgow. We will start by focusing on a few neighbourhoods to begin with. </w:t>
      </w:r>
    </w:p>
    <w:p w:rsidR="007841E1" w:rsidRDefault="007841E1">
      <w:pPr>
        <w:pStyle w:val="Body"/>
        <w:jc w:val="both"/>
        <w:rPr>
          <w:sz w:val="22"/>
          <w:szCs w:val="22"/>
        </w:rPr>
      </w:pPr>
    </w:p>
    <w:p w:rsidR="007841E1" w:rsidRDefault="00C5586E">
      <w:pPr>
        <w:pStyle w:val="Body"/>
        <w:jc w:val="both"/>
        <w:rPr>
          <w:sz w:val="22"/>
          <w:szCs w:val="22"/>
        </w:rPr>
      </w:pPr>
      <w:r>
        <w:rPr>
          <w:sz w:val="22"/>
          <w:szCs w:val="22"/>
          <w:lang w:val="en-US"/>
        </w:rPr>
        <w:t xml:space="preserve">Figure 5.1 illustrates the model of delivery that we will adopt to achieve a range of positive outcomes for local communities in the city </w:t>
      </w:r>
      <w:r>
        <w:rPr>
          <w:rFonts w:hAnsi="Arial"/>
          <w:sz w:val="22"/>
          <w:szCs w:val="22"/>
        </w:rPr>
        <w:t xml:space="preserve">– </w:t>
      </w:r>
      <w:r>
        <w:rPr>
          <w:sz w:val="22"/>
          <w:szCs w:val="22"/>
          <w:lang w:val="en-US"/>
        </w:rPr>
        <w:t xml:space="preserve">otherwise known as our </w:t>
      </w:r>
      <w:r>
        <w:rPr>
          <w:rFonts w:hAnsi="Arial"/>
          <w:sz w:val="22"/>
          <w:szCs w:val="22"/>
        </w:rPr>
        <w:t>‘</w:t>
      </w:r>
      <w:r>
        <w:rPr>
          <w:sz w:val="22"/>
          <w:szCs w:val="22"/>
          <w:lang w:val="en-US"/>
        </w:rPr>
        <w:t>thriving places</w:t>
      </w:r>
      <w:r>
        <w:rPr>
          <w:rFonts w:hAnsi="Arial"/>
          <w:sz w:val="22"/>
          <w:szCs w:val="22"/>
          <w:lang w:val="fr-FR"/>
        </w:rPr>
        <w:t xml:space="preserve">’ </w:t>
      </w:r>
      <w:r>
        <w:rPr>
          <w:sz w:val="22"/>
          <w:szCs w:val="22"/>
          <w:lang w:val="en-US"/>
        </w:rPr>
        <w:t xml:space="preserve">approach.   </w:t>
      </w:r>
      <w:r>
        <w:rPr>
          <w:sz w:val="22"/>
          <w:szCs w:val="22"/>
        </w:rPr>
        <w:br/>
      </w:r>
    </w:p>
    <w:p w:rsidR="007841E1" w:rsidRDefault="00C5586E">
      <w:pPr>
        <w:pStyle w:val="Body"/>
        <w:jc w:val="both"/>
        <w:rPr>
          <w:rFonts w:ascii="Arial Bold" w:eastAsia="Arial Bold" w:hAnsi="Arial Bold" w:cs="Arial Bold"/>
          <w:sz w:val="22"/>
          <w:szCs w:val="22"/>
        </w:rPr>
      </w:pPr>
      <w:r>
        <w:rPr>
          <w:rFonts w:ascii="Arial Bold"/>
          <w:sz w:val="22"/>
          <w:szCs w:val="22"/>
          <w:lang w:val="en-US"/>
        </w:rPr>
        <w:t xml:space="preserve">Figure 5.1 </w:t>
      </w:r>
      <w:r>
        <w:rPr>
          <w:rFonts w:hAnsi="Arial Bold"/>
          <w:sz w:val="22"/>
          <w:szCs w:val="22"/>
        </w:rPr>
        <w:t>–</w:t>
      </w:r>
      <w:r>
        <w:rPr>
          <w:rFonts w:hAnsi="Arial Bold"/>
          <w:sz w:val="22"/>
          <w:szCs w:val="22"/>
        </w:rPr>
        <w:t xml:space="preserve"> </w:t>
      </w:r>
      <w:r>
        <w:rPr>
          <w:rFonts w:ascii="Arial Bold"/>
          <w:sz w:val="22"/>
          <w:szCs w:val="22"/>
          <w:lang w:val="en-US"/>
        </w:rPr>
        <w:t>The Thriving Places Approach within the Glasgow SOA</w:t>
      </w:r>
    </w:p>
    <w:p w:rsidR="007841E1" w:rsidRDefault="007841E1">
      <w:pPr>
        <w:pStyle w:val="Body"/>
        <w:jc w:val="both"/>
        <w:rPr>
          <w:rFonts w:ascii="Arial Bold" w:eastAsia="Arial Bold" w:hAnsi="Arial Bold" w:cs="Arial Bold"/>
          <w:sz w:val="22"/>
          <w:szCs w:val="22"/>
        </w:rPr>
      </w:pPr>
    </w:p>
    <w:p w:rsidR="007841E1" w:rsidRDefault="00C5586E">
      <w:pPr>
        <w:pStyle w:val="Body"/>
        <w:jc w:val="both"/>
        <w:rPr>
          <w:sz w:val="22"/>
          <w:szCs w:val="22"/>
        </w:rPr>
      </w:pPr>
      <w:r>
        <w:rPr>
          <w:noProof/>
          <w:sz w:val="22"/>
          <w:szCs w:val="22"/>
        </w:rPr>
        <w:lastRenderedPageBreak/>
        <mc:AlternateContent>
          <mc:Choice Requires="wpg">
            <w:drawing>
              <wp:inline distT="0" distB="0" distL="0" distR="0">
                <wp:extent cx="6456046" cy="3314700"/>
                <wp:effectExtent l="0" t="0" r="0" b="0"/>
                <wp:docPr id="1073741847" name="officeArt object"/>
                <wp:cNvGraphicFramePr/>
                <a:graphic xmlns:a="http://schemas.openxmlformats.org/drawingml/2006/main">
                  <a:graphicData uri="http://schemas.microsoft.com/office/word/2010/wordprocessingGroup">
                    <wpg:wgp>
                      <wpg:cNvGrpSpPr/>
                      <wpg:grpSpPr>
                        <a:xfrm>
                          <a:off x="0" y="0"/>
                          <a:ext cx="6456046" cy="3314700"/>
                          <a:chOff x="0" y="0"/>
                          <a:chExt cx="6456045" cy="3314700"/>
                        </a:xfrm>
                      </wpg:grpSpPr>
                      <wps:wsp>
                        <wps:cNvPr id="1073741827" name="Shape 1073741827"/>
                        <wps:cNvSpPr/>
                        <wps:spPr>
                          <a:xfrm>
                            <a:off x="0" y="0"/>
                            <a:ext cx="6456046" cy="3314700"/>
                          </a:xfrm>
                          <a:prstGeom prst="rect">
                            <a:avLst/>
                          </a:prstGeom>
                          <a:noFill/>
                          <a:ln w="38100" cap="flat">
                            <a:solidFill>
                              <a:srgbClr val="000000"/>
                            </a:solidFill>
                            <a:prstDash val="solid"/>
                            <a:round/>
                          </a:ln>
                          <a:effectLst/>
                        </wps:spPr>
                        <wps:bodyPr/>
                      </wps:wsp>
                      <wpg:grpSp>
                        <wpg:cNvPr id="1073741830" name="Group 1073741830"/>
                        <wpg:cNvGrpSpPr/>
                        <wpg:grpSpPr>
                          <a:xfrm>
                            <a:off x="3789026" y="286999"/>
                            <a:ext cx="2232717" cy="647701"/>
                            <a:chOff x="0" y="0"/>
                            <a:chExt cx="2232715" cy="647700"/>
                          </a:xfrm>
                        </wpg:grpSpPr>
                        <wps:wsp>
                          <wps:cNvPr id="1073741828" name="Shape 1073741828"/>
                          <wps:cNvSpPr/>
                          <wps:spPr>
                            <a:xfrm>
                              <a:off x="0" y="0"/>
                              <a:ext cx="2232716" cy="647700"/>
                            </a:xfrm>
                            <a:prstGeom prst="rect">
                              <a:avLst/>
                            </a:prstGeom>
                            <a:solidFill>
                              <a:srgbClr val="FFFFFF"/>
                            </a:solidFill>
                            <a:ln w="38100" cap="flat">
                              <a:solidFill>
                                <a:srgbClr val="003366"/>
                              </a:solidFill>
                              <a:prstDash val="solid"/>
                              <a:round/>
                            </a:ln>
                            <a:effectLst/>
                          </wps:spPr>
                          <wps:bodyPr/>
                        </wps:wsp>
                        <wps:wsp>
                          <wps:cNvPr id="1073741829" name="Shape 1073741829"/>
                          <wps:cNvSpPr/>
                          <wps:spPr>
                            <a:xfrm>
                              <a:off x="0" y="0"/>
                              <a:ext cx="2232716" cy="647700"/>
                            </a:xfrm>
                            <a:prstGeom prst="rect">
                              <a:avLst/>
                            </a:prstGeom>
                            <a:noFill/>
                            <a:ln w="12700" cap="flat">
                              <a:noFill/>
                              <a:miter lim="400000"/>
                            </a:ln>
                            <a:effectLst/>
                          </wps:spPr>
                          <wps:txbx>
                            <w:txbxContent>
                              <w:p w:rsidR="007841E1" w:rsidRDefault="00C5586E">
                                <w:pPr>
                                  <w:pStyle w:val="Body"/>
                                </w:pPr>
                                <w:r>
                                  <w:rPr>
                                    <w:rFonts w:ascii="Arial Bold"/>
                                    <w:sz w:val="18"/>
                                    <w:szCs w:val="18"/>
                                    <w:lang w:val="en-US"/>
                                  </w:rPr>
                                  <w:t xml:space="preserve">Intensive approach (Tier 1) </w:t>
                                </w:r>
                                <w:r>
                                  <w:rPr>
                                    <w:sz w:val="18"/>
                                    <w:szCs w:val="18"/>
                                    <w:lang w:val="en-US"/>
                                  </w:rPr>
                                  <w:t>more intensive working between community planning partners and residents across a range of possible issues</w:t>
                                </w:r>
                              </w:p>
                            </w:txbxContent>
                          </wps:txbx>
                          <wps:bodyPr wrap="square" lIns="45719" tIns="45719" rIns="45719" bIns="45719" numCol="1" anchor="t">
                            <a:noAutofit/>
                          </wps:bodyPr>
                        </wps:wsp>
                      </wpg:grpSp>
                      <wpg:grpSp>
                        <wpg:cNvPr id="1073741833" name="Group 1073741833"/>
                        <wpg:cNvGrpSpPr/>
                        <wpg:grpSpPr>
                          <a:xfrm>
                            <a:off x="3789026" y="2322099"/>
                            <a:ext cx="2232717" cy="590601"/>
                            <a:chOff x="0" y="0"/>
                            <a:chExt cx="2232715" cy="590599"/>
                          </a:xfrm>
                        </wpg:grpSpPr>
                        <wps:wsp>
                          <wps:cNvPr id="1073741831" name="Shape 1073741831"/>
                          <wps:cNvSpPr/>
                          <wps:spPr>
                            <a:xfrm>
                              <a:off x="0" y="0"/>
                              <a:ext cx="2232716" cy="590600"/>
                            </a:xfrm>
                            <a:prstGeom prst="rect">
                              <a:avLst/>
                            </a:prstGeom>
                            <a:solidFill>
                              <a:srgbClr val="FFFFFF"/>
                            </a:solidFill>
                            <a:ln w="38100" cap="flat">
                              <a:solidFill>
                                <a:srgbClr val="CCFFFF"/>
                              </a:solidFill>
                              <a:prstDash val="solid"/>
                              <a:round/>
                            </a:ln>
                            <a:effectLst/>
                          </wps:spPr>
                          <wps:bodyPr/>
                        </wps:wsp>
                        <wps:wsp>
                          <wps:cNvPr id="1073741832" name="Shape 1073741832"/>
                          <wps:cNvSpPr/>
                          <wps:spPr>
                            <a:xfrm>
                              <a:off x="0" y="0"/>
                              <a:ext cx="2232716" cy="590600"/>
                            </a:xfrm>
                            <a:prstGeom prst="rect">
                              <a:avLst/>
                            </a:prstGeom>
                            <a:noFill/>
                            <a:ln w="12700" cap="flat">
                              <a:noFill/>
                              <a:miter lim="400000"/>
                            </a:ln>
                            <a:effectLst/>
                          </wps:spPr>
                          <wps:txbx>
                            <w:txbxContent>
                              <w:p w:rsidR="007841E1" w:rsidRDefault="00C5586E">
                                <w:pPr>
                                  <w:pStyle w:val="Body"/>
                                </w:pPr>
                                <w:r>
                                  <w:rPr>
                                    <w:rFonts w:ascii="Arial Bold"/>
                                    <w:sz w:val="18"/>
                                    <w:szCs w:val="18"/>
                                    <w:lang w:val="en-US"/>
                                  </w:rPr>
                                  <w:t>Whole population approach</w:t>
                                </w:r>
                                <w:r>
                                  <w:rPr>
                                    <w:sz w:val="18"/>
                                    <w:szCs w:val="18"/>
                                  </w:rPr>
                                  <w:t xml:space="preserve"> </w:t>
                                </w:r>
                                <w:r>
                                  <w:rPr>
                                    <w:rFonts w:ascii="Arial Bold"/>
                                    <w:sz w:val="18"/>
                                    <w:szCs w:val="18"/>
                                  </w:rPr>
                                  <w:t>(Tier 3)</w:t>
                                </w:r>
                                <w:r>
                                  <w:rPr>
                                    <w:sz w:val="18"/>
                                    <w:szCs w:val="18"/>
                                  </w:rPr>
                                  <w:t xml:space="preserve"> </w:t>
                                </w:r>
                                <w:r>
                                  <w:rPr>
                                    <w:sz w:val="18"/>
                                    <w:szCs w:val="18"/>
                                  </w:rPr>
                                  <w:br/>
                                </w:r>
                                <w:r>
                                  <w:rPr>
                                    <w:sz w:val="18"/>
                                    <w:szCs w:val="18"/>
                                    <w:lang w:val="en-US"/>
                                  </w:rPr>
                                  <w:t>Outcomes targeted towards all relevant individuals and communities</w:t>
                                </w:r>
                              </w:p>
                            </w:txbxContent>
                          </wps:txbx>
                          <wps:bodyPr wrap="square" lIns="45719" tIns="45719" rIns="45719" bIns="45719" numCol="1" anchor="t">
                            <a:noAutofit/>
                          </wps:bodyPr>
                        </wps:wsp>
                      </wpg:grpSp>
                      <wpg:grpSp>
                        <wpg:cNvPr id="1073741836" name="Group 1073741836"/>
                        <wpg:cNvGrpSpPr/>
                        <wpg:grpSpPr>
                          <a:xfrm>
                            <a:off x="3789026" y="1250900"/>
                            <a:ext cx="2232717" cy="650200"/>
                            <a:chOff x="0" y="0"/>
                            <a:chExt cx="2232715" cy="650199"/>
                          </a:xfrm>
                        </wpg:grpSpPr>
                        <wps:wsp>
                          <wps:cNvPr id="1073741834" name="Shape 1073741834"/>
                          <wps:cNvSpPr/>
                          <wps:spPr>
                            <a:xfrm>
                              <a:off x="0" y="0"/>
                              <a:ext cx="2232716" cy="650200"/>
                            </a:xfrm>
                            <a:prstGeom prst="rect">
                              <a:avLst/>
                            </a:prstGeom>
                            <a:solidFill>
                              <a:srgbClr val="FFFFFF"/>
                            </a:solidFill>
                            <a:ln w="38100" cap="flat">
                              <a:solidFill>
                                <a:srgbClr val="33CCCC"/>
                              </a:solidFill>
                              <a:prstDash val="solid"/>
                              <a:round/>
                            </a:ln>
                            <a:effectLst/>
                          </wps:spPr>
                          <wps:bodyPr/>
                        </wps:wsp>
                        <wps:wsp>
                          <wps:cNvPr id="1073741835" name="Shape 1073741835"/>
                          <wps:cNvSpPr/>
                          <wps:spPr>
                            <a:xfrm>
                              <a:off x="0" y="0"/>
                              <a:ext cx="2232716" cy="650200"/>
                            </a:xfrm>
                            <a:prstGeom prst="rect">
                              <a:avLst/>
                            </a:prstGeom>
                            <a:noFill/>
                            <a:ln w="12700" cap="flat">
                              <a:noFill/>
                              <a:miter lim="400000"/>
                            </a:ln>
                            <a:effectLst/>
                          </wps:spPr>
                          <wps:txbx>
                            <w:txbxContent>
                              <w:p w:rsidR="007841E1" w:rsidRDefault="00C5586E">
                                <w:pPr>
                                  <w:pStyle w:val="Body"/>
                                  <w:rPr>
                                    <w:sz w:val="18"/>
                                    <w:szCs w:val="18"/>
                                  </w:rPr>
                                </w:pPr>
                                <w:r>
                                  <w:rPr>
                                    <w:rFonts w:ascii="Arial Bold"/>
                                    <w:sz w:val="18"/>
                                    <w:szCs w:val="18"/>
                                    <w:lang w:val="en-US"/>
                                  </w:rPr>
                                  <w:t>Targeted approach</w:t>
                                </w:r>
                                <w:r>
                                  <w:rPr>
                                    <w:sz w:val="18"/>
                                    <w:szCs w:val="18"/>
                                  </w:rPr>
                                  <w:t xml:space="preserve"> </w:t>
                                </w:r>
                                <w:r>
                                  <w:rPr>
                                    <w:rFonts w:ascii="Arial Bold"/>
                                    <w:sz w:val="18"/>
                                    <w:szCs w:val="18"/>
                                  </w:rPr>
                                  <w:t>(Tier 2)</w:t>
                                </w:r>
                              </w:p>
                              <w:p w:rsidR="007841E1" w:rsidRDefault="00C5586E">
                                <w:pPr>
                                  <w:pStyle w:val="Body"/>
                                </w:pPr>
                                <w:r>
                                  <w:rPr>
                                    <w:sz w:val="18"/>
                                    <w:szCs w:val="18"/>
                                    <w:lang w:val="en-US"/>
                                  </w:rPr>
                                  <w:t>Neighbourhoods targeted around one or more priorities based on specific local need</w:t>
                                </w:r>
                              </w:p>
                            </w:txbxContent>
                          </wps:txbx>
                          <wps:bodyPr wrap="square" lIns="45719" tIns="45719" rIns="45719" bIns="45719" numCol="1" anchor="t">
                            <a:noAutofit/>
                          </wps:bodyPr>
                        </wps:wsp>
                      </wpg:grpSp>
                      <wpg:grpSp>
                        <wpg:cNvPr id="1073741840" name="Group 1073741840"/>
                        <wpg:cNvGrpSpPr/>
                        <wpg:grpSpPr>
                          <a:xfrm>
                            <a:off x="230501" y="114299"/>
                            <a:ext cx="3352824" cy="2971801"/>
                            <a:chOff x="0" y="0"/>
                            <a:chExt cx="3352823" cy="2971800"/>
                          </a:xfrm>
                        </wpg:grpSpPr>
                        <wps:wsp>
                          <wps:cNvPr id="1073741837" name="Shape 1073741837"/>
                          <wps:cNvSpPr/>
                          <wps:spPr>
                            <a:xfrm>
                              <a:off x="1169678" y="-1"/>
                              <a:ext cx="1017913" cy="889001"/>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21600" y="21600"/>
                                  </a:lnTo>
                                  <a:lnTo>
                                    <a:pt x="0" y="21600"/>
                                  </a:lnTo>
                                  <a:lnTo>
                                    <a:pt x="10800" y="0"/>
                                  </a:lnTo>
                                  <a:close/>
                                </a:path>
                              </a:pathLst>
                            </a:custGeom>
                            <a:solidFill>
                              <a:srgbClr val="003366"/>
                            </a:solidFill>
                            <a:ln w="12700" cap="flat">
                              <a:noFill/>
                              <a:miter lim="400000"/>
                            </a:ln>
                            <a:effectLst/>
                          </wps:spPr>
                          <wps:bodyPr/>
                        </wps:wsp>
                        <wps:wsp>
                          <wps:cNvPr id="1073741838" name="Shape 1073741838"/>
                          <wps:cNvSpPr/>
                          <wps:spPr>
                            <a:xfrm>
                              <a:off x="582299" y="889000"/>
                              <a:ext cx="2188226" cy="1041400"/>
                            </a:xfrm>
                            <a:custGeom>
                              <a:avLst/>
                              <a:gdLst/>
                              <a:ahLst/>
                              <a:cxnLst>
                                <a:cxn ang="0">
                                  <a:pos x="wd2" y="hd2"/>
                                </a:cxn>
                                <a:cxn ang="5400000">
                                  <a:pos x="wd2" y="hd2"/>
                                </a:cxn>
                                <a:cxn ang="10800000">
                                  <a:pos x="wd2" y="hd2"/>
                                </a:cxn>
                                <a:cxn ang="16200000">
                                  <a:pos x="wd2" y="hd2"/>
                                </a:cxn>
                              </a:cxnLst>
                              <a:rect l="0" t="0" r="r" b="b"/>
                              <a:pathLst>
                                <a:path w="21600" h="21600" extrusionOk="0">
                                  <a:moveTo>
                                    <a:pt x="5787" y="0"/>
                                  </a:moveTo>
                                  <a:lnTo>
                                    <a:pt x="15812" y="0"/>
                                  </a:lnTo>
                                  <a:lnTo>
                                    <a:pt x="21600" y="21600"/>
                                  </a:lnTo>
                                  <a:lnTo>
                                    <a:pt x="0" y="21600"/>
                                  </a:lnTo>
                                  <a:lnTo>
                                    <a:pt x="5787" y="0"/>
                                  </a:lnTo>
                                  <a:close/>
                                </a:path>
                              </a:pathLst>
                            </a:custGeom>
                            <a:solidFill>
                              <a:srgbClr val="33CCCC"/>
                            </a:solidFill>
                            <a:ln w="12700" cap="flat">
                              <a:noFill/>
                              <a:miter lim="400000"/>
                            </a:ln>
                            <a:effectLst/>
                          </wps:spPr>
                          <wps:bodyPr/>
                        </wps:wsp>
                        <wps:wsp>
                          <wps:cNvPr id="1073741839" name="Shape 1073741839"/>
                          <wps:cNvSpPr/>
                          <wps:spPr>
                            <a:xfrm>
                              <a:off x="0" y="1930400"/>
                              <a:ext cx="3352824" cy="1041400"/>
                            </a:xfrm>
                            <a:custGeom>
                              <a:avLst/>
                              <a:gdLst/>
                              <a:ahLst/>
                              <a:cxnLst>
                                <a:cxn ang="0">
                                  <a:pos x="wd2" y="hd2"/>
                                </a:cxn>
                                <a:cxn ang="5400000">
                                  <a:pos x="wd2" y="hd2"/>
                                </a:cxn>
                                <a:cxn ang="10800000">
                                  <a:pos x="wd2" y="hd2"/>
                                </a:cxn>
                                <a:cxn ang="16200000">
                                  <a:pos x="wd2" y="hd2"/>
                                </a:cxn>
                              </a:cxnLst>
                              <a:rect l="0" t="0" r="r" b="b"/>
                              <a:pathLst>
                                <a:path w="21600" h="21600" extrusionOk="0">
                                  <a:moveTo>
                                    <a:pt x="3768" y="0"/>
                                  </a:moveTo>
                                  <a:lnTo>
                                    <a:pt x="17831" y="0"/>
                                  </a:lnTo>
                                  <a:lnTo>
                                    <a:pt x="21600" y="21600"/>
                                  </a:lnTo>
                                  <a:lnTo>
                                    <a:pt x="0" y="21600"/>
                                  </a:lnTo>
                                  <a:lnTo>
                                    <a:pt x="3768" y="0"/>
                                  </a:lnTo>
                                  <a:close/>
                                </a:path>
                              </a:pathLst>
                            </a:custGeom>
                            <a:solidFill>
                              <a:srgbClr val="CCFFFF"/>
                            </a:solidFill>
                            <a:ln w="12700" cap="flat">
                              <a:noFill/>
                              <a:miter lim="400000"/>
                            </a:ln>
                            <a:effectLst/>
                          </wps:spPr>
                          <wps:bodyPr/>
                        </wps:wsp>
                      </wpg:grpSp>
                      <wps:wsp>
                        <wps:cNvPr id="1073741841" name="Shape 1073741841"/>
                        <wps:cNvCnPr/>
                        <wps:spPr>
                          <a:xfrm flipH="1" flipV="1">
                            <a:off x="1922113" y="610800"/>
                            <a:ext cx="1859314" cy="1"/>
                          </a:xfrm>
                          <a:prstGeom prst="line">
                            <a:avLst/>
                          </a:prstGeom>
                          <a:noFill/>
                          <a:ln w="19050" cap="flat">
                            <a:solidFill>
                              <a:srgbClr val="000000"/>
                            </a:solidFill>
                            <a:prstDash val="solid"/>
                            <a:round/>
                          </a:ln>
                          <a:effectLst/>
                        </wps:spPr>
                        <wps:bodyPr/>
                      </wps:wsp>
                      <wps:wsp>
                        <wps:cNvPr id="1073741842" name="Shape 1073741842"/>
                        <wps:cNvCnPr/>
                        <wps:spPr>
                          <a:xfrm flipH="1" flipV="1">
                            <a:off x="1922113" y="1576000"/>
                            <a:ext cx="1859314" cy="1"/>
                          </a:xfrm>
                          <a:prstGeom prst="line">
                            <a:avLst/>
                          </a:prstGeom>
                          <a:noFill/>
                          <a:ln w="19050" cap="flat">
                            <a:solidFill>
                              <a:srgbClr val="000000"/>
                            </a:solidFill>
                            <a:prstDash val="solid"/>
                            <a:round/>
                          </a:ln>
                          <a:effectLst/>
                        </wps:spPr>
                        <wps:bodyPr/>
                      </wps:wsp>
                      <wps:wsp>
                        <wps:cNvPr id="1073741843" name="Shape 1073741843"/>
                        <wps:cNvCnPr/>
                        <wps:spPr>
                          <a:xfrm flipH="1" flipV="1">
                            <a:off x="1922113" y="2617399"/>
                            <a:ext cx="1859314" cy="1"/>
                          </a:xfrm>
                          <a:prstGeom prst="line">
                            <a:avLst/>
                          </a:prstGeom>
                          <a:noFill/>
                          <a:ln w="19050" cap="flat">
                            <a:solidFill>
                              <a:srgbClr val="000000"/>
                            </a:solidFill>
                            <a:prstDash val="solid"/>
                            <a:round/>
                          </a:ln>
                          <a:effectLst/>
                        </wps:spPr>
                        <wps:bodyPr/>
                      </wps:wsp>
                      <wps:wsp>
                        <wps:cNvPr id="1073741844" name="Shape 1073741844"/>
                        <wps:cNvSpPr/>
                        <wps:spPr>
                          <a:xfrm>
                            <a:off x="1823012" y="505999"/>
                            <a:ext cx="179703" cy="179801"/>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12700" cap="flat">
                            <a:solidFill>
                              <a:srgbClr val="3366FF"/>
                            </a:solidFill>
                            <a:prstDash val="solid"/>
                            <a:round/>
                          </a:ln>
                          <a:effectLst/>
                        </wps:spPr>
                        <wps:bodyPr/>
                      </wps:wsp>
                      <wps:wsp>
                        <wps:cNvPr id="1073741845" name="Shape 1073741845"/>
                        <wps:cNvSpPr/>
                        <wps:spPr>
                          <a:xfrm>
                            <a:off x="1823012" y="1485900"/>
                            <a:ext cx="179703" cy="179701"/>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12700" cap="flat">
                            <a:solidFill>
                              <a:srgbClr val="3366FF"/>
                            </a:solidFill>
                            <a:prstDash val="solid"/>
                            <a:round/>
                          </a:ln>
                          <a:effectLst/>
                        </wps:spPr>
                        <wps:bodyPr/>
                      </wps:wsp>
                      <wps:wsp>
                        <wps:cNvPr id="1073741846" name="Shape 1073741846"/>
                        <wps:cNvSpPr/>
                        <wps:spPr>
                          <a:xfrm>
                            <a:off x="1823012" y="2514600"/>
                            <a:ext cx="179703" cy="179701"/>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12700" cap="flat">
                            <a:solidFill>
                              <a:srgbClr val="3366FF"/>
                            </a:solidFill>
                            <a:prstDash val="solid"/>
                            <a:round/>
                          </a:ln>
                          <a:effectLst/>
                        </wps:spPr>
                        <wps:bodyPr/>
                      </wps:wsp>
                    </wpg:wgp>
                  </a:graphicData>
                </a:graphic>
              </wp:inline>
            </w:drawing>
          </mc:Choice>
          <mc:Fallback>
            <w:pict>
              <v:group id="officeArt object" o:spid="_x0000_s1026" style="width:508.35pt;height:261pt;mso-position-horizontal-relative:char;mso-position-vertical-relative:line" coordsize="64560,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">
                <v:rect id="Shape 1073741827" o:spid="_x0000_s1027" style="position:absolute;width:64560;height:33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YIccA&#10;AADjAAAADwAAAGRycy9kb3ducmV2LnhtbERPzWrCQBC+C77DMkIvUjexxaTRVUQQehBBrQdvQ3aa&#10;BLOzIbvG9O1doeBxvv9ZrHpTi45aV1lWEE8iEMS51RUXCn5O2/cUhPPIGmvLpOCPHKyWw8ECM23v&#10;fKDu6AsRQthlqKD0vsmkdHlJBt3ENsSB+7WtQR/OtpC6xXsIN7WcRtFMGqw4NJTY0Kak/Hq8GQW7&#10;y3m8T3fcb+PDbS+p+6o59kq9jfr1HISn3r/E/+5vHeZHyUfyGafTBJ4/BQDk8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1GCHHAAAA4wAAAA8AAAAAAAAAAAAAAAAAmAIAAGRy&#10;cy9kb3ducmV2LnhtbFBLBQYAAAAABAAEAPUAAACMAwAAAAA=&#10;" filled="f" strokeweight="3pt">
                  <v:stroke joinstyle="round"/>
                </v:rect>
                <v:group id="Group 1073741830" o:spid="_x0000_s1028" style="position:absolute;left:37890;top:2869;width:22327;height:6478" coordsize="22327,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SQmXu&#10;zAAAAOMAAAAPAAAAAAAAAAAAAAAAAKoCAABkcnMvZG93bnJldi54bWxQSwUGAAAAAAQABAD6AAAA&#10;owMAAAAA&#10;">
                  <v:rect id="Shape 1073741828" o:spid="_x0000_s1029" style="position:absolute;width:22327;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xm8oA&#10;AADjAAAADwAAAGRycy9kb3ducmV2LnhtbESPQUvDQBCF74L/YRmhF7GbRLEhdlukUCqeNPUHDNkx&#10;G5qdDdm1SfvrnYPgcea9ee+b9Xb2vTrTGLvABvJlBoq4Cbbj1sDXcf9QgooJ2WIfmAxcKMJ2c3uz&#10;xsqGiT/pXKdWSQjHCg24lIZK69g48hiXYSAW7TuMHpOMY6vtiJOE+14XWfasPXYsDQ4H2jlqTvWP&#10;NxDy44yHqSa6fhQnd7jHXenejVncza8voBLN6d/8d/1mBT9bPa6e8rIQaPlJFqA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I2cZvKAAAA4wAAAA8AAAAAAAAAAAAAAAAAmAIA&#10;AGRycy9kb3ducmV2LnhtbFBLBQYAAAAABAAEAPUAAACPAwAAAAA=&#10;" strokecolor="#036" strokeweight="3pt">
                    <v:stroke joinstyle="round"/>
                  </v:rect>
                  <v:rect id="Shape 1073741829" o:spid="_x0000_s1030" style="position:absolute;width:22327;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q+scA&#10;AADjAAAADwAAAGRycy9kb3ducmV2LnhtbERPX0vDMBB/F/Ydwg18c0nb6da6bIzhRNiT0w9wNGdT&#10;bS6lSbf67Y0g+Hi//7fZTa4TFxpC61lDtlAgiGtvWm40vL8d79YgQkQ22HkmDd8UYLed3WywMv7K&#10;r3Q5x0akEA4VarAx9pWUobbkMCx8T5y4Dz84jOkcGmkGvKZw18lcqQfpsOXUYLGng6X66zw6DTI7&#10;FV3pxjKf7PhULNX95/G51/p2Pu0fQUSa4r/4z/1i0ny1KlbLbJ2X8PtTAk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oKvrHAAAA4wAAAA8AAAAAAAAAAAAAAAAAmAIAAGRy&#10;cy9kb3ducmV2LnhtbFBLBQYAAAAABAAEAPUAAACMAwAAAAA=&#10;" filled="f" stroked="f" strokeweight="1pt">
                    <v:stroke miterlimit="4"/>
                    <v:textbox inset="1.27mm,1.27mm,1.27mm,1.27mm">
                      <w:txbxContent>
                        <w:p w:rsidR="007841E1" w:rsidRDefault="00C5586E">
                          <w:pPr>
                            <w:pStyle w:val="Body"/>
                          </w:pPr>
                          <w:r>
                            <w:rPr>
                              <w:rFonts w:ascii="Arial Bold"/>
                              <w:sz w:val="18"/>
                              <w:szCs w:val="18"/>
                              <w:lang w:val="en-US"/>
                            </w:rPr>
                            <w:t xml:space="preserve">Intensive approach (Tier 1) </w:t>
                          </w:r>
                          <w:r>
                            <w:rPr>
                              <w:sz w:val="18"/>
                              <w:szCs w:val="18"/>
                              <w:lang w:val="en-US"/>
                            </w:rPr>
                            <w:t>more intensive working between community planning partners and residents across a range of possible issues</w:t>
                          </w:r>
                        </w:p>
                      </w:txbxContent>
                    </v:textbox>
                  </v:rect>
                </v:group>
                <v:group id="Group 1073741833" o:spid="_x0000_s1031" style="position:absolute;left:37890;top:23220;width:22327;height:5907" coordsize="22327,5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KQ+5nIAAAA&#10;4wAAAA8AAAAAAAAAAAAAAAAAqgIAAGRycy9kb3ducmV2LnhtbFBLBQYAAAAABAAEAPoAAACfAwAA&#10;AAA=&#10;">
                  <v:rect id="Shape 1073741831" o:spid="_x0000_s1032" style="position:absolute;width:22327;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3XcYA&#10;AADjAAAADwAAAGRycy9kb3ducmV2LnhtbERPX0vDMBB/F/wO4QTfXNpVbKjLhgxEnwS7MV+P5kyK&#10;zaU0WVe/vREEH+/3/za7xQ9ipin2gTWUqwIEcRdMz1bD8fB8p0DEhGxwCEwavinCbnt9tcHGhAu/&#10;09wmK3IIxwY1uJTGRsrYOfIYV2EkztxnmDymfE5WmgkvOdwPcl0UD9Jjz7nB4Uh7R91Xe/Ya9mun&#10;lD20p/NHV8+nF6uqtzFqfXuzPD2CSLSkf/Gf+9Xk+UVd1felqkr4/SkD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s3XcYAAADjAAAADwAAAAAAAAAAAAAAAACYAgAAZHJz&#10;L2Rvd25yZXYueG1sUEsFBgAAAAAEAAQA9QAAAIsDAAAAAA==&#10;" strokecolor="#cff" strokeweight="3pt">
                    <v:stroke joinstyle="round"/>
                  </v:rect>
                  <v:rect id="Shape 1073741832" o:spid="_x0000_s1033" style="position:absolute;width:22327;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uVscA&#10;AADjAAAADwAAAGRycy9kb3ducmV2LnhtbERPX0/CMBB/N/E7NGfim7TbUGBQCCFiTHgS/QCX9VgH&#10;63VZO5jf3pqY+Hi//7fajK4VV+pD41lDNlEgiCtvGq41fH3un+YgQkQ22HomDd8UYLO+v1thafyN&#10;P+h6jLVIIRxK1GBj7EopQ2XJYZj4jjhxJ987jOnsa2l6vKVw18pcqRfpsOHUYLGjnaXqchycBpkd&#10;inbhhkU+2uG1mKrn8/6t0/rxYdwuQUQa47/4z/1u0nw1K2bTbF7k8PtTAk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VLlbHAAAA4wAAAA8AAAAAAAAAAAAAAAAAmAIAAGRy&#10;cy9kb3ducmV2LnhtbFBLBQYAAAAABAAEAPUAAACMAwAAAAA=&#10;" filled="f" stroked="f" strokeweight="1pt">
                    <v:stroke miterlimit="4"/>
                    <v:textbox inset="1.27mm,1.27mm,1.27mm,1.27mm">
                      <w:txbxContent>
                        <w:p w:rsidR="007841E1" w:rsidRDefault="00C5586E">
                          <w:pPr>
                            <w:pStyle w:val="Body"/>
                          </w:pPr>
                          <w:r>
                            <w:rPr>
                              <w:rFonts w:ascii="Arial Bold"/>
                              <w:sz w:val="18"/>
                              <w:szCs w:val="18"/>
                              <w:lang w:val="en-US"/>
                            </w:rPr>
                            <w:t>Whole population approach</w:t>
                          </w:r>
                          <w:r>
                            <w:rPr>
                              <w:sz w:val="18"/>
                              <w:szCs w:val="18"/>
                            </w:rPr>
                            <w:t xml:space="preserve"> </w:t>
                          </w:r>
                          <w:r>
                            <w:rPr>
                              <w:rFonts w:ascii="Arial Bold"/>
                              <w:sz w:val="18"/>
                              <w:szCs w:val="18"/>
                            </w:rPr>
                            <w:t>(Tier 3)</w:t>
                          </w:r>
                          <w:r>
                            <w:rPr>
                              <w:sz w:val="18"/>
                              <w:szCs w:val="18"/>
                            </w:rPr>
                            <w:t xml:space="preserve"> </w:t>
                          </w:r>
                          <w:r>
                            <w:rPr>
                              <w:sz w:val="18"/>
                              <w:szCs w:val="18"/>
                            </w:rPr>
                            <w:br/>
                          </w:r>
                          <w:r>
                            <w:rPr>
                              <w:sz w:val="18"/>
                              <w:szCs w:val="18"/>
                              <w:lang w:val="en-US"/>
                            </w:rPr>
                            <w:t>Outcomes targeted towards all relevant individuals and communities</w:t>
                          </w:r>
                        </w:p>
                      </w:txbxContent>
                    </v:textbox>
                  </v:rect>
                </v:group>
                <v:group id="Group 1073741836" o:spid="_x0000_s1034" style="position:absolute;left:37890;top:12509;width:22327;height:6502" coordsize="22327,6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LnWAHIAAAA&#10;4wAAAA8AAAAAAAAAAAAAAAAAqgIAAGRycy9kb3ducmV2LnhtbFBLBQYAAAAABAAEAPoAAACfAwAA&#10;AAA=&#10;">
                  <v:rect id="Shape 1073741834" o:spid="_x0000_s1035" style="position:absolute;width:22327;height:6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6BscA&#10;AADjAAAADwAAAGRycy9kb3ducmV2LnhtbERPX2vCMBB/H/gdwgl7m6la1FWjOEEoA8G5MfDtaM62&#10;2FxCE7V++0UQ9ni//7dYdaYRV2p9bVnBcJCAIC6srrlU8PO9fZuB8AFZY2OZFNzJw2rZe1lgpu2N&#10;v+h6CKWIIewzVFCF4DIpfVGRQT+wjjhyJ9saDPFsS6lbvMVw08hRkkykwZpjQ4WONhUV58PFKPj4&#10;Pb6fd5tRXu5d1+zpjrlLP5V67XfrOYhAXfgXP925jvOT6XiaDmfjFB4/RQD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UugbHAAAA4wAAAA8AAAAAAAAAAAAAAAAAmAIAAGRy&#10;cy9kb3ducmV2LnhtbFBLBQYAAAAABAAEAPUAAACMAwAAAAA=&#10;" strokecolor="#3cc" strokeweight="3pt">
                    <v:stroke joinstyle="round"/>
                  </v:rect>
                  <v:rect id="Shape 1073741835" o:spid="_x0000_s1036" style="position:absolute;width:22327;height:6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2IscA&#10;AADjAAAADwAAAGRycy9kb3ducmV2LnhtbERPX2vCMBB/F/Ydwg18m0mtTu2MMkTHwCfdPsDR3Jpu&#10;zaU0qdZvvwwGPt7v/623g2vEhbpQe9aQTRQI4tKbmisNnx+HpyWIEJENNp5Jw40CbDcPozUWxl/5&#10;RJdzrEQK4VCgBhtjW0gZSksOw8S3xIn78p3DmM6ukqbDawp3jZwq9Swd1pwaLLa0s1T+nHunQWbH&#10;vFm5fjUdbL/PZ2r+fXhrtR4/Dq8vICIN8S7+d7+bNF8t8sUsW+Zz+PspAS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8tiLHAAAA4wAAAA8AAAAAAAAAAAAAAAAAmAIAAGRy&#10;cy9kb3ducmV2LnhtbFBLBQYAAAAABAAEAPUAAACMAwAAAAA=&#10;" filled="f" stroked="f" strokeweight="1pt">
                    <v:stroke miterlimit="4"/>
                    <v:textbox inset="1.27mm,1.27mm,1.27mm,1.27mm">
                      <w:txbxContent>
                        <w:p w:rsidR="007841E1" w:rsidRDefault="00C5586E">
                          <w:pPr>
                            <w:pStyle w:val="Body"/>
                            <w:rPr>
                              <w:sz w:val="18"/>
                              <w:szCs w:val="18"/>
                            </w:rPr>
                          </w:pPr>
                          <w:r>
                            <w:rPr>
                              <w:rFonts w:ascii="Arial Bold"/>
                              <w:sz w:val="18"/>
                              <w:szCs w:val="18"/>
                              <w:lang w:val="en-US"/>
                            </w:rPr>
                            <w:t>Targeted approach</w:t>
                          </w:r>
                          <w:r>
                            <w:rPr>
                              <w:sz w:val="18"/>
                              <w:szCs w:val="18"/>
                            </w:rPr>
                            <w:t xml:space="preserve"> </w:t>
                          </w:r>
                          <w:r>
                            <w:rPr>
                              <w:rFonts w:ascii="Arial Bold"/>
                              <w:sz w:val="18"/>
                              <w:szCs w:val="18"/>
                            </w:rPr>
                            <w:t>(Tier 2)</w:t>
                          </w:r>
                        </w:p>
                        <w:p w:rsidR="007841E1" w:rsidRDefault="00C5586E">
                          <w:pPr>
                            <w:pStyle w:val="Body"/>
                          </w:pPr>
                          <w:r>
                            <w:rPr>
                              <w:sz w:val="18"/>
                              <w:szCs w:val="18"/>
                              <w:lang w:val="en-US"/>
                            </w:rPr>
                            <w:t>Neighbourhoods targeted around one or more priorities based on specific local need</w:t>
                          </w:r>
                        </w:p>
                      </w:txbxContent>
                    </v:textbox>
                  </v:rect>
                </v:group>
                <v:group id="Group 1073741840" o:spid="_x0000_s1037" style="position:absolute;left:2305;top:1142;width:33528;height:29719" coordsize="33528,29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KRBaT&#10;zAAAAOMAAAAPAAAAAAAAAAAAAAAAAKoCAABkcnMvZG93bnJldi54bWxQSwUGAAAAAAQABAD6AAAA&#10;owMAAAAA&#10;">
                  <v:shape id="Shape 1073741837" o:spid="_x0000_s1038" style="position:absolute;left:11696;width:10179;height:88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GEMgA&#10;AADjAAAADwAAAGRycy9kb3ducmV2LnhtbERPS2vCQBC+F/wPyxR6qxsfbSS6SpQWexKMXrwN2TGP&#10;Zmdjdqvx37uFQo/zvWex6k0jrtS5yrKC0TACQZxbXXGh4Hj4fJ2BcB5ZY2OZFNzJwWo5eFpgou2N&#10;93TNfCFCCLsEFZTet4mULi/JoBvaljhwZ9sZ9OHsCqk7vIVw08hxFL1LgxWHhhJb2pSUf2c/RsGl&#10;3q2brEpratNtbOr928dxc1Lq5blP5yA89f5f/Of+0mF+FE/i6Wg2ieH3pwCAX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WQYQyAAAAOMAAAAPAAAAAAAAAAAAAAAAAJgCAABk&#10;cnMvZG93bnJldi54bWxQSwUGAAAAAAQABAD1AAAAjQMAAAAA&#10;" path="m10800,l21600,21600,,21600,10800,xe" fillcolor="#036" stroked="f" strokeweight="1pt">
                    <v:stroke miterlimit="4" joinstyle="miter"/>
                    <v:path arrowok="t" o:extrusionok="f" o:connecttype="custom" o:connectlocs="508957,444501;508957,444501;508957,444501;508957,444501" o:connectangles="0,90,180,270"/>
                  </v:shape>
                  <v:shape id="Shape 1073741838" o:spid="_x0000_s1039" style="position:absolute;left:5822;top:8890;width:21883;height:1041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AEcwA&#10;AADjAAAADwAAAGRycy9kb3ducmV2LnhtbESPQWvDMAyF74P9B6PCLqN1spS2ZHXLGAx2GIOlhZKb&#10;sbUkNJZDrLXpv58Ogx2l9/Tep+1+Cr264Ji6SAbyRQYKyUXfUWPgeHibb0AltuRtHwkN3DDBfnd/&#10;t7Wlj1f6wkvFjZIQSqU10DIPpdbJtRhsWsQBSbTvOAbLMo6N9qO9Snjo9VOWrXSwHUlDawd8bdGd&#10;q59gYMlVTlz3B1cc/e3xs3Gnuv4w5mE2vTyDYpz43/x3/e4FP1sX62W+KQRafpIF6N0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JKAEcwAAADjAAAADwAAAAAAAAAAAAAAAACY&#10;AgAAZHJzL2Rvd25yZXYueG1sUEsFBgAAAAAEAAQA9QAAAJEDAAAAAA==&#10;" path="m5787,l15812,r5788,21600l,21600,5787,xe" fillcolor="#3cc" stroked="f" strokeweight="1pt">
                    <v:stroke miterlimit="4" joinstyle="miter"/>
                    <v:path arrowok="t" o:extrusionok="f" o:connecttype="custom" o:connectlocs="1094113,520700;1094113,520700;1094113,520700;1094113,520700" o:connectangles="0,90,180,270"/>
                  </v:shape>
                  <v:shape id="Shape 1073741839" o:spid="_x0000_s1040" style="position:absolute;top:19304;width:33528;height:1041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M2MoA&#10;AADjAAAADwAAAGRycy9kb3ducmV2LnhtbERPS2sCMRC+C/0PYQq9iGatUrdbo7SFiuDFJ7a3YTPN&#10;Lm4m6ybV9d83QqHH+d4zmbW2EmdqfOlYwaCfgCDOnS7ZKNhtP3opCB+QNVaOScGVPMymd50JZtpd&#10;eE3nTTAihrDPUEERQp1J6fOCLPq+q4kj9+0aiyGejZG6wUsMt5V8TJInabHk2FBgTe8F5cfNj1XQ&#10;PRyXp9X+OqLT59x8dU0+f1ulSj3ct68vIAK14V/8517oOD8ZD8ejQTp8httPEQA5/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bCzNjKAAAA4wAAAA8AAAAAAAAAAAAAAAAAmAIA&#10;AGRycy9kb3ducmV2LnhtbFBLBQYAAAAABAAEAPUAAACPAwAAAAA=&#10;" path="m3768,l17831,r3769,21600l,21600,3768,xe" fillcolor="#cff" stroked="f" strokeweight="1pt">
                    <v:stroke miterlimit="4" joinstyle="miter"/>
                    <v:path arrowok="t" o:extrusionok="f" o:connecttype="custom" o:connectlocs="1676412,520700;1676412,520700;1676412,520700;1676412,520700" o:connectangles="0,90,180,270"/>
                  </v:shape>
                </v:group>
                <v:line id="Shape 1073741841" o:spid="_x0000_s1041" style="position:absolute;flip:x y;visibility:visible;mso-wrap-style:square" from="19221,6108" to="37814,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HgTMcAAADjAAAADwAAAGRycy9kb3ducmV2LnhtbERPzWrCQBC+C77DMkJvukkaakhdpVUE&#10;r9WW6m3MTpNodjZkV03f3hUKPc73P7NFbxpxpc7VlhXEkwgEcWF1zaWCz916nIFwHlljY5kU/JKD&#10;xXw4mGGu7Y0/6Lr1pQgh7HJUUHnf5lK6oiKDbmJb4sD92M6gD2dXSt3hLYSbRiZR9CIN1hwaKmxp&#10;WVFx3l6MgpZdmhyO3++Hpkz8Jv1ayWx/Uupp1L+9gvDU+3/xn3ujw/xo+jxN4yyN4fFTAE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8eBMxwAAAOMAAAAPAAAAAAAA&#10;AAAAAAAAAKECAABkcnMvZG93bnJldi54bWxQSwUGAAAAAAQABAD5AAAAlQMAAAAA&#10;" strokeweight="1.5pt"/>
                <v:line id="Shape 1073741842" o:spid="_x0000_s1042" style="position:absolute;flip:x y;visibility:visible;mso-wrap-style:square" from="19221,15760" to="37814,1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O8YAAADjAAAADwAAAGRycy9kb3ducmV2LnhtbERPzWrCQBC+C32HZQredGMMNURXaRXB&#10;q9pSvY3ZMUmbnQ3ZVePbu0Khx/n+Z7boTC2u1LrKsoLRMAJBnFtdcaHgc78epCCcR9ZYWyYFd3Kw&#10;mL/0Zphpe+MtXXe+ECGEXYYKSu+bTEqXl2TQDW1DHLizbQ36cLaF1C3eQripZRxFb9JgxaGhxIaW&#10;JeW/u4tR0LBL4uPp++NYF7HfJF8rmR5+lOq/du9TEJ46/y/+c290mB9NxpNklCYxPH8KAM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jfjvGAAAA4wAAAA8AAAAAAAAA&#10;AAAAAAAAoQIAAGRycy9kb3ducmV2LnhtbFBLBQYAAAAABAAEAPkAAACUAwAAAAA=&#10;" strokeweight="1.5pt"/>
                <v:line id="Shape 1073741843" o:spid="_x0000_s1043" style="position:absolute;flip:x y;visibility:visible;mso-wrap-style:square" from="19221,26173" to="37814,2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boMcAAADjAAAADwAAAGRycy9kb3ducmV2LnhtbERPzWrCQBC+C32HZQredGMMNURXqYrg&#10;tdqi3sbsNEmbnQ3ZVdO3d4WCx/n+Z7boTC2u1LrKsoLRMAJBnFtdcaHgc78ZpCCcR9ZYWyYFf+Rg&#10;MX/pzTDT9sYfdN35QoQQdhkqKL1vMildXpJBN7QNceC+bWvQh7MtpG7xFsJNLeMoepMGKw4NJTa0&#10;Kin/3V2MgoZdEp/Oh+WpLmK/Tb7WMj3+KNV/7d6nIDx1/in+d291mB9NxpNklCZjePwUAJ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b9ugxwAAAOMAAAAPAAAAAAAA&#10;AAAAAAAAAKECAABkcnMvZG93bnJldi54bWxQSwUGAAAAAAQABAD5AAAAlQMAAAAA&#10;" strokeweight="1.5pt"/>
                <v:shape id="Shape 1073741844" o:spid="_x0000_s1044" style="position:absolute;left:18230;top:5059;width:1797;height:1799;visibility:visible;mso-wrap-style:square;v-text-anchor:top" coordsize="19679,19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wH8kA&#10;AADjAAAADwAAAGRycy9kb3ducmV2LnhtbERPX2vCMBB/F/Ydwg32pokzaumMsgljQwdjbuDr0dza&#10;YnMpTdRun34ZCD7e7/8tVr1rxIm6UHs2MB4pEMSFtzWXBr4+n4cZiBCRLTaeycAPBVgtbwYLzK0/&#10;8weddrEUKYRDjgaqGNtcylBU5DCMfEucuG/fOYzp7EppOzyncNfIe6Vm0mHNqaHCltYVFYfd0RnY&#10;bA5b9T6b6qe9+8302ws3/XFvzN1t//gAIlIfr+KL+9Wm+Wo+metxpjX8/5QAk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UfwH8kAAADjAAAADwAAAAAAAAAAAAAAAACYAgAA&#10;ZHJzL2Rvd25yZXYueG1sUEsFBgAAAAAEAAQA9QAAAI4DAAAAAA==&#10;" path="m16796,2882v3843,3842,3843,10072,,13914c12954,20639,6724,20639,2882,16796,-961,12954,-961,6724,2882,2882v3842,-3843,10072,-3843,13914,xe" filled="f" strokecolor="#36f" strokeweight="1pt">
                  <v:path arrowok="t" o:extrusionok="f" o:connecttype="custom" o:connectlocs="89852,89901;89852,89901;89852,89901;89852,89901" o:connectangles="0,90,180,270"/>
                </v:shape>
                <v:shape id="Shape 1073741845" o:spid="_x0000_s1045" style="position:absolute;left:18230;top:14859;width:1797;height:1797;visibility:visible;mso-wrap-style:square;v-text-anchor:top" coordsize="19679,19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tVhMkA&#10;AADjAAAADwAAAGRycy9kb3ducmV2LnhtbERP3WvCMBB/H+x/CDfY20zcqpbOKFMYGyqIH+Dr0dza&#10;YnMpTdTOv34RBj7e7/vG087W4kytrxxr6PcUCOLcmYoLDfvd50sKwgdkg7Vj0vBLHqaTx4cxZsZd&#10;eEPnbShEDGGfoYYyhCaT0uclWfQ91xBH7se1FkM820KaFi8x3NbyVamhtFhxbCixoXlJ+XF7shoW&#10;i+NSrYeDZHaw1zRZfXHdnQ5aPz91H+8gAnXhLv53f5s4X43eRkk/TQZw+ykCIC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gtVhMkAAADjAAAADwAAAAAAAAAAAAAAAACYAgAA&#10;ZHJzL2Rvd25yZXYueG1sUEsFBgAAAAAEAAQA9QAAAI4DAAAAAA==&#10;" path="m16796,2882v3843,3842,3843,10072,,13914c12954,20639,6724,20639,2882,16796,-961,12954,-961,6724,2882,2882v3842,-3843,10072,-3843,13914,xe" filled="f" strokecolor="#36f" strokeweight="1pt">
                  <v:path arrowok="t" o:extrusionok="f" o:connecttype="custom" o:connectlocs="89852,89851;89852,89851;89852,89851;89852,89851" o:connectangles="0,90,180,270"/>
                </v:shape>
                <v:shape id="Shape 1073741846" o:spid="_x0000_s1046" style="position:absolute;left:18230;top:25146;width:1797;height:1797;visibility:visible;mso-wrap-style:square;v-text-anchor:top" coordsize="19679,19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L88kA&#10;AADjAAAADwAAAGRycy9kb3ducmV2LnhtbERP3WvCMBB/H+x/CDfwbSZuXS3VKNtANlQQP8DXo7m1&#10;xeZSmqjd/vplMPDxft83nfe2ERfqfO1Yw2ioQBAXztRcajjsF48ZCB+QDTaOScM3eZjP7u+mmBt3&#10;5S1ddqEUMYR9jhqqENpcSl9UZNEPXUscuS/XWQzx7EppOrzGcNvIJ6VSabHm2FBhS+8VFafd2WpY&#10;Lk8rtUlfkrej/cmS9Qc3/fmo9eChf52ACNSHm/jf/WnifDV+HiejLEnh76cIgJ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tnL88kAAADjAAAADwAAAAAAAAAAAAAAAACYAgAA&#10;ZHJzL2Rvd25yZXYueG1sUEsFBgAAAAAEAAQA9QAAAI4DAAAAAA==&#10;" path="m16796,2882v3843,3842,3843,10072,,13914c12954,20639,6724,20639,2882,16796,-961,12954,-961,6724,2882,2882v3842,-3843,10072,-3843,13914,xe" filled="f" strokecolor="#36f" strokeweight="1pt">
                  <v:path arrowok="t" o:extrusionok="f" o:connecttype="custom" o:connectlocs="89852,89851;89852,89851;89852,89851;89852,89851" o:connectangles="0,90,180,270"/>
                </v:shape>
                <w10:anchorlock/>
              </v:group>
            </w:pict>
          </mc:Fallback>
        </mc:AlternateContent>
      </w:r>
    </w:p>
    <w:p w:rsidR="007841E1" w:rsidRDefault="007841E1">
      <w:pPr>
        <w:pStyle w:val="Body"/>
        <w:jc w:val="both"/>
        <w:rPr>
          <w:sz w:val="22"/>
          <w:szCs w:val="22"/>
        </w:rPr>
      </w:pPr>
    </w:p>
    <w:p w:rsidR="007841E1" w:rsidRDefault="00C5586E">
      <w:pPr>
        <w:pStyle w:val="Body"/>
        <w:jc w:val="both"/>
        <w:rPr>
          <w:rFonts w:ascii="Arial Bold"/>
          <w:sz w:val="22"/>
          <w:szCs w:val="22"/>
        </w:rPr>
      </w:pPr>
      <w:r>
        <w:rPr>
          <w:rFonts w:ascii="Arial Bold"/>
          <w:sz w:val="22"/>
          <w:szCs w:val="22"/>
        </w:rPr>
        <w:t>Tier 3</w:t>
      </w:r>
    </w:p>
    <w:p w:rsidR="00CB61B3" w:rsidRDefault="00CB61B3">
      <w:pPr>
        <w:pStyle w:val="Body"/>
        <w:jc w:val="both"/>
        <w:rPr>
          <w:rFonts w:ascii="Arial Bold" w:eastAsia="Arial Bold" w:hAnsi="Arial Bold" w:cs="Arial Bold"/>
          <w:sz w:val="22"/>
          <w:szCs w:val="22"/>
        </w:rPr>
      </w:pPr>
    </w:p>
    <w:p w:rsidR="007841E1" w:rsidRDefault="00C5586E">
      <w:pPr>
        <w:pStyle w:val="Body"/>
        <w:jc w:val="both"/>
        <w:rPr>
          <w:sz w:val="22"/>
          <w:szCs w:val="22"/>
        </w:rPr>
      </w:pPr>
      <w:r>
        <w:rPr>
          <w:sz w:val="22"/>
          <w:szCs w:val="22"/>
          <w:lang w:val="en-US"/>
        </w:rPr>
        <w:t>This describes our city wide commitment, or our blanket approach where all individuals and communities in the city can expect to benefit from the range of activities and services described in section 4 (our priorities) to deliver on the outcomes within this SOA.</w:t>
      </w:r>
    </w:p>
    <w:p w:rsidR="007841E1" w:rsidRDefault="007841E1">
      <w:pPr>
        <w:pStyle w:val="Body"/>
        <w:jc w:val="both"/>
        <w:rPr>
          <w:sz w:val="22"/>
          <w:szCs w:val="22"/>
        </w:rPr>
      </w:pPr>
    </w:p>
    <w:p w:rsidR="007841E1" w:rsidRDefault="00C5586E">
      <w:pPr>
        <w:pStyle w:val="Body"/>
        <w:jc w:val="both"/>
        <w:rPr>
          <w:rFonts w:ascii="Arial Bold"/>
          <w:sz w:val="22"/>
          <w:szCs w:val="22"/>
        </w:rPr>
      </w:pPr>
      <w:r>
        <w:rPr>
          <w:rFonts w:ascii="Arial Bold"/>
          <w:sz w:val="22"/>
          <w:szCs w:val="22"/>
        </w:rPr>
        <w:t xml:space="preserve">Tier 2 </w:t>
      </w:r>
    </w:p>
    <w:p w:rsidR="00CB61B3" w:rsidRDefault="00CB61B3">
      <w:pPr>
        <w:pStyle w:val="Body"/>
        <w:jc w:val="both"/>
        <w:rPr>
          <w:sz w:val="22"/>
          <w:szCs w:val="22"/>
        </w:rPr>
      </w:pPr>
    </w:p>
    <w:p w:rsidR="007841E1" w:rsidRDefault="00C5586E">
      <w:pPr>
        <w:pStyle w:val="Body"/>
        <w:jc w:val="both"/>
        <w:rPr>
          <w:sz w:val="22"/>
          <w:szCs w:val="22"/>
        </w:rPr>
      </w:pPr>
      <w:r>
        <w:rPr>
          <w:sz w:val="22"/>
          <w:szCs w:val="22"/>
          <w:lang w:val="en-US"/>
        </w:rPr>
        <w:t xml:space="preserve">This describes a more targeted approach where additional activity will be undertaken within a small number of neighbourhoods, and will focus upon supporting one or more of the specific outcomes within this SOA. These will essentially represent </w:t>
      </w:r>
      <w:r>
        <w:rPr>
          <w:rFonts w:hAnsi="Arial"/>
          <w:sz w:val="22"/>
          <w:szCs w:val="22"/>
        </w:rPr>
        <w:t>‘</w:t>
      </w:r>
      <w:r>
        <w:rPr>
          <w:sz w:val="22"/>
          <w:szCs w:val="22"/>
        </w:rPr>
        <w:t>hot spots</w:t>
      </w:r>
      <w:r>
        <w:rPr>
          <w:rFonts w:hAnsi="Arial"/>
          <w:sz w:val="22"/>
          <w:szCs w:val="22"/>
          <w:lang w:val="fr-FR"/>
        </w:rPr>
        <w:t xml:space="preserve">’ </w:t>
      </w:r>
      <w:r>
        <w:rPr>
          <w:sz w:val="22"/>
          <w:szCs w:val="22"/>
          <w:lang w:val="en-US"/>
        </w:rPr>
        <w:t xml:space="preserve">around alcohol, youth employment or vulnerability where we will look to focus additional attention or resources on addressing such issues. These neighbourhoods will be identified by examining a range of robust evidence.  </w:t>
      </w:r>
    </w:p>
    <w:p w:rsidR="007841E1" w:rsidRDefault="007841E1">
      <w:pPr>
        <w:pStyle w:val="Body"/>
        <w:jc w:val="both"/>
        <w:rPr>
          <w:sz w:val="22"/>
          <w:szCs w:val="22"/>
        </w:rPr>
      </w:pPr>
    </w:p>
    <w:p w:rsidR="007841E1" w:rsidRDefault="00C5586E">
      <w:pPr>
        <w:pStyle w:val="Body"/>
        <w:jc w:val="both"/>
        <w:rPr>
          <w:sz w:val="22"/>
          <w:szCs w:val="22"/>
        </w:rPr>
      </w:pPr>
      <w:r>
        <w:rPr>
          <w:sz w:val="22"/>
          <w:szCs w:val="22"/>
          <w:lang w:val="en-US"/>
        </w:rPr>
        <w:t xml:space="preserve">The additional actions taken by CPP partners in these </w:t>
      </w:r>
      <w:r>
        <w:rPr>
          <w:rFonts w:hAnsi="Arial"/>
          <w:sz w:val="22"/>
          <w:szCs w:val="22"/>
        </w:rPr>
        <w:t>‘</w:t>
      </w:r>
      <w:r>
        <w:rPr>
          <w:sz w:val="22"/>
          <w:szCs w:val="22"/>
        </w:rPr>
        <w:t>hot spots</w:t>
      </w:r>
      <w:r>
        <w:rPr>
          <w:rFonts w:hAnsi="Arial"/>
          <w:sz w:val="22"/>
          <w:szCs w:val="22"/>
          <w:lang w:val="fr-FR"/>
        </w:rPr>
        <w:t xml:space="preserve">’ </w:t>
      </w:r>
      <w:r>
        <w:rPr>
          <w:sz w:val="22"/>
          <w:szCs w:val="22"/>
          <w:lang w:val="en-US"/>
        </w:rPr>
        <w:t xml:space="preserve">might vary in length and intensity, depending on the nature or severity of the issue </w:t>
      </w:r>
      <w:r>
        <w:rPr>
          <w:rFonts w:hAnsi="Arial"/>
          <w:sz w:val="22"/>
          <w:szCs w:val="22"/>
        </w:rPr>
        <w:t xml:space="preserve">– </w:t>
      </w:r>
      <w:r>
        <w:rPr>
          <w:sz w:val="22"/>
          <w:szCs w:val="22"/>
          <w:lang w:val="en-US"/>
        </w:rPr>
        <w:t xml:space="preserve">for some, the actions required may take longer to affect change, but for others the interventions may be short, sharp and more intensive in focus. </w:t>
      </w:r>
    </w:p>
    <w:p w:rsidR="007841E1" w:rsidRDefault="007841E1">
      <w:pPr>
        <w:pStyle w:val="Body"/>
        <w:jc w:val="both"/>
        <w:rPr>
          <w:sz w:val="22"/>
          <w:szCs w:val="22"/>
        </w:rPr>
      </w:pPr>
    </w:p>
    <w:p w:rsidR="007841E1" w:rsidRDefault="00C5586E">
      <w:pPr>
        <w:pStyle w:val="Body"/>
        <w:jc w:val="both"/>
        <w:rPr>
          <w:rFonts w:ascii="Arial Bold"/>
          <w:sz w:val="22"/>
          <w:szCs w:val="22"/>
        </w:rPr>
      </w:pPr>
      <w:r>
        <w:rPr>
          <w:rFonts w:ascii="Arial Bold"/>
          <w:sz w:val="22"/>
          <w:szCs w:val="22"/>
        </w:rPr>
        <w:t>Tier 1</w:t>
      </w:r>
    </w:p>
    <w:p w:rsidR="00CB61B3" w:rsidRDefault="00CB61B3">
      <w:pPr>
        <w:pStyle w:val="Body"/>
        <w:jc w:val="both"/>
        <w:rPr>
          <w:sz w:val="22"/>
          <w:szCs w:val="22"/>
        </w:rPr>
      </w:pPr>
    </w:p>
    <w:p w:rsidR="007841E1" w:rsidRDefault="00C5586E">
      <w:pPr>
        <w:pStyle w:val="Body"/>
        <w:jc w:val="both"/>
        <w:rPr>
          <w:sz w:val="22"/>
          <w:szCs w:val="22"/>
        </w:rPr>
      </w:pPr>
      <w:r>
        <w:rPr>
          <w:sz w:val="22"/>
          <w:szCs w:val="22"/>
          <w:lang w:val="en-US"/>
        </w:rPr>
        <w:t xml:space="preserve">The intensive neighbourhood approach will initially focus upon a small number of neighbourhoods across Glasgow, with Community Planning partners jointly working together across a range of potential issues within these communities. This approach will look to making better use of existing resources and assets within local communities, and finding better ways of developing and delivering mainstream services. This approach will not rely upon new or additional </w:t>
      </w:r>
      <w:r>
        <w:rPr>
          <w:rFonts w:hAnsi="Arial"/>
          <w:sz w:val="22"/>
          <w:szCs w:val="22"/>
        </w:rPr>
        <w:t>‘</w:t>
      </w:r>
      <w:r>
        <w:rPr>
          <w:sz w:val="22"/>
          <w:szCs w:val="22"/>
          <w:lang w:val="en-US"/>
        </w:rPr>
        <w:t>ring-fenced</w:t>
      </w:r>
      <w:r>
        <w:rPr>
          <w:rFonts w:hAnsi="Arial"/>
          <w:sz w:val="22"/>
          <w:szCs w:val="22"/>
          <w:lang w:val="fr-FR"/>
        </w:rPr>
        <w:t xml:space="preserve">’ </w:t>
      </w:r>
      <w:r>
        <w:rPr>
          <w:sz w:val="22"/>
          <w:szCs w:val="22"/>
        </w:rPr>
        <w:t xml:space="preserve">funds. </w:t>
      </w:r>
    </w:p>
    <w:p w:rsidR="007841E1" w:rsidRDefault="007841E1">
      <w:pPr>
        <w:pStyle w:val="Body"/>
        <w:jc w:val="both"/>
        <w:rPr>
          <w:sz w:val="22"/>
          <w:szCs w:val="22"/>
        </w:rPr>
      </w:pPr>
    </w:p>
    <w:p w:rsidR="007841E1" w:rsidRDefault="00C5586E">
      <w:pPr>
        <w:pStyle w:val="Body"/>
        <w:jc w:val="both"/>
        <w:rPr>
          <w:sz w:val="22"/>
          <w:szCs w:val="22"/>
        </w:rPr>
      </w:pPr>
      <w:r>
        <w:rPr>
          <w:sz w:val="22"/>
          <w:szCs w:val="22"/>
          <w:lang w:val="en-US"/>
        </w:rPr>
        <w:t>These targeted areas will be selected based on robust evidence that confirms that they remain amongst the most deprived areas across Glasgow. The approach and intensity of working in these areas will be viewed as a longer term commitment, although it is hoped that early demonstrations of success will build traction for this approach, demonstrating that we are listening and changing the way we work to better effect. Our long term ambition is to ensure that these become thriving, self-supporting and successful neighbourhoods.</w:t>
      </w:r>
    </w:p>
    <w:p w:rsidR="007841E1" w:rsidRDefault="007841E1">
      <w:pPr>
        <w:pStyle w:val="Body"/>
        <w:jc w:val="both"/>
        <w:rPr>
          <w:sz w:val="22"/>
          <w:szCs w:val="22"/>
        </w:rPr>
      </w:pPr>
    </w:p>
    <w:p w:rsidR="007841E1" w:rsidRDefault="00C5586E">
      <w:pPr>
        <w:pStyle w:val="Body"/>
        <w:jc w:val="both"/>
        <w:rPr>
          <w:rFonts w:ascii="Arial Bold"/>
          <w:sz w:val="22"/>
          <w:szCs w:val="22"/>
          <w:lang w:val="en-US"/>
        </w:rPr>
      </w:pPr>
      <w:r>
        <w:rPr>
          <w:rFonts w:ascii="Arial Bold"/>
          <w:sz w:val="22"/>
          <w:szCs w:val="22"/>
          <w:lang w:val="en-US"/>
        </w:rPr>
        <w:t>Where</w:t>
      </w:r>
    </w:p>
    <w:p w:rsidR="00CB61B3" w:rsidRDefault="00CB61B3">
      <w:pPr>
        <w:pStyle w:val="Body"/>
        <w:jc w:val="both"/>
        <w:rPr>
          <w:sz w:val="22"/>
          <w:szCs w:val="22"/>
        </w:rPr>
      </w:pPr>
    </w:p>
    <w:p w:rsidR="007841E1" w:rsidRDefault="00C5586E">
      <w:pPr>
        <w:pStyle w:val="Body"/>
        <w:jc w:val="both"/>
        <w:rPr>
          <w:sz w:val="22"/>
          <w:szCs w:val="22"/>
        </w:rPr>
      </w:pPr>
      <w:r>
        <w:rPr>
          <w:sz w:val="22"/>
          <w:szCs w:val="22"/>
          <w:lang w:val="en-US"/>
        </w:rPr>
        <w:t xml:space="preserve">We will initially target less than ten areas to being this intensive </w:t>
      </w:r>
      <w:r>
        <w:rPr>
          <w:rFonts w:hAnsi="Arial"/>
          <w:sz w:val="22"/>
          <w:szCs w:val="22"/>
        </w:rPr>
        <w:t>‘</w:t>
      </w:r>
      <w:r>
        <w:rPr>
          <w:sz w:val="22"/>
          <w:szCs w:val="22"/>
        </w:rPr>
        <w:t>tier 1</w:t>
      </w:r>
      <w:r>
        <w:rPr>
          <w:rFonts w:hAnsi="Arial"/>
          <w:sz w:val="22"/>
          <w:szCs w:val="22"/>
          <w:lang w:val="fr-FR"/>
        </w:rPr>
        <w:t xml:space="preserve">’ </w:t>
      </w:r>
      <w:r>
        <w:rPr>
          <w:sz w:val="22"/>
          <w:szCs w:val="22"/>
          <w:lang w:val="en-US"/>
        </w:rPr>
        <w:t xml:space="preserve">approach. In determining these neighbourhoods, the city has been split into 56 neighbourhood boundaries for the purposes of analysing data, each typically with around 10,000 residents. This level of disaggregation was chosen in order to reflect more natural local neighbourhoods with their own distinct characteristics, but still be large enough for agencies to plan services on a reasonable and practical scale. </w:t>
      </w:r>
    </w:p>
    <w:p w:rsidR="007841E1" w:rsidRDefault="007841E1">
      <w:pPr>
        <w:pStyle w:val="Body"/>
        <w:jc w:val="both"/>
        <w:rPr>
          <w:sz w:val="22"/>
          <w:szCs w:val="22"/>
        </w:rPr>
      </w:pPr>
    </w:p>
    <w:p w:rsidR="007841E1" w:rsidRDefault="00C5586E">
      <w:pPr>
        <w:pStyle w:val="Body"/>
        <w:jc w:val="both"/>
        <w:rPr>
          <w:sz w:val="22"/>
          <w:szCs w:val="22"/>
        </w:rPr>
      </w:pPr>
      <w:r>
        <w:rPr>
          <w:sz w:val="22"/>
          <w:szCs w:val="22"/>
          <w:lang w:val="en-US"/>
        </w:rPr>
        <w:t>Across Glasgow, the data analyses used to identify areas of persistent inequality has been based around trend data from the SIMD. The analyses have identified a number of neighbourhoods that display consistent levels of inequality relative to other parts of the city. These neighbourhoods have been also been cross-referenced against a series of other key indicators including child poverty levels, health indicators and unemployment measures to confirm their fit with the key SOA priorities.</w:t>
      </w:r>
    </w:p>
    <w:p w:rsidR="007841E1" w:rsidRDefault="007841E1">
      <w:pPr>
        <w:pStyle w:val="Body"/>
        <w:jc w:val="both"/>
        <w:rPr>
          <w:sz w:val="22"/>
          <w:szCs w:val="22"/>
        </w:rPr>
      </w:pPr>
    </w:p>
    <w:p w:rsidR="007841E1" w:rsidRDefault="00C5586E">
      <w:pPr>
        <w:pStyle w:val="Body"/>
        <w:jc w:val="both"/>
        <w:rPr>
          <w:sz w:val="22"/>
          <w:szCs w:val="22"/>
        </w:rPr>
      </w:pPr>
      <w:r>
        <w:rPr>
          <w:sz w:val="22"/>
          <w:szCs w:val="22"/>
          <w:lang w:val="en-US"/>
        </w:rPr>
        <w:t xml:space="preserve">In identifying possible areas for this intensive approach, we have also considered existing or planned physical and social regeneration within Glasgow, and where appropriate will tie in the intensive neighbourhood approach with some of the major initiatives taking place in some of our neighbourhoods </w:t>
      </w:r>
      <w:r>
        <w:rPr>
          <w:rFonts w:hAnsi="Arial"/>
          <w:sz w:val="22"/>
          <w:szCs w:val="22"/>
        </w:rPr>
        <w:t xml:space="preserve">– </w:t>
      </w:r>
      <w:r>
        <w:rPr>
          <w:sz w:val="22"/>
          <w:szCs w:val="22"/>
          <w:lang w:val="en-US"/>
        </w:rPr>
        <w:t xml:space="preserve">e.g. the </w:t>
      </w:r>
      <w:r>
        <w:rPr>
          <w:i/>
          <w:iCs/>
          <w:sz w:val="22"/>
          <w:szCs w:val="22"/>
          <w:lang w:val="en-US"/>
        </w:rPr>
        <w:t>Equally Well</w:t>
      </w:r>
      <w:r>
        <w:rPr>
          <w:sz w:val="22"/>
          <w:szCs w:val="22"/>
          <w:lang w:val="en-US"/>
        </w:rPr>
        <w:t xml:space="preserve"> test sites, and large scale physical and social regeneration projects such as the new Southern Hospital and Commonwealth Games. The approach taken to support these neighbourhoods within the SOA will be complementary to existing and planned work by CPP partners to regenerate a whole series of communities across Glasgow.</w:t>
      </w:r>
    </w:p>
    <w:p w:rsidR="007841E1" w:rsidRDefault="007841E1">
      <w:pPr>
        <w:pStyle w:val="Body"/>
        <w:jc w:val="both"/>
        <w:rPr>
          <w:sz w:val="22"/>
          <w:szCs w:val="22"/>
        </w:rPr>
      </w:pPr>
    </w:p>
    <w:p w:rsidR="007841E1" w:rsidRDefault="00C5586E">
      <w:pPr>
        <w:pStyle w:val="Body"/>
        <w:jc w:val="both"/>
        <w:rPr>
          <w:sz w:val="22"/>
          <w:szCs w:val="22"/>
        </w:rPr>
      </w:pPr>
      <w:r>
        <w:rPr>
          <w:sz w:val="22"/>
          <w:szCs w:val="22"/>
          <w:lang w:val="en-US"/>
        </w:rPr>
        <w:t>The neighbourhoods identified as part of the intensive approach are as follows:</w:t>
      </w:r>
    </w:p>
    <w:p w:rsidR="007841E1" w:rsidRDefault="007841E1">
      <w:pPr>
        <w:pStyle w:val="Body"/>
        <w:jc w:val="both"/>
        <w:rPr>
          <w:sz w:val="22"/>
          <w:szCs w:val="22"/>
        </w:rPr>
      </w:pPr>
    </w:p>
    <w:p w:rsidR="007841E1" w:rsidRDefault="00C5586E">
      <w:pPr>
        <w:pStyle w:val="Body"/>
        <w:jc w:val="both"/>
        <w:rPr>
          <w:rFonts w:ascii="Arial Bold"/>
          <w:sz w:val="22"/>
          <w:szCs w:val="22"/>
          <w:lang w:val="en-US"/>
        </w:rPr>
      </w:pPr>
      <w:r>
        <w:rPr>
          <w:rFonts w:ascii="Arial Bold"/>
          <w:sz w:val="22"/>
          <w:szCs w:val="22"/>
          <w:lang w:val="en-US"/>
        </w:rPr>
        <w:t>North West Sector:</w:t>
      </w:r>
    </w:p>
    <w:p w:rsidR="00CB61B3" w:rsidRDefault="00CB61B3">
      <w:pPr>
        <w:pStyle w:val="Body"/>
        <w:jc w:val="both"/>
        <w:rPr>
          <w:rFonts w:ascii="Arial Bold" w:eastAsia="Arial Bold" w:hAnsi="Arial Bold" w:cs="Arial Bold"/>
          <w:sz w:val="22"/>
          <w:szCs w:val="22"/>
        </w:rPr>
      </w:pPr>
    </w:p>
    <w:p w:rsidR="007841E1" w:rsidRDefault="00C5586E" w:rsidP="00C5586E">
      <w:pPr>
        <w:pStyle w:val="ListParagraph"/>
        <w:numPr>
          <w:ilvl w:val="0"/>
          <w:numId w:val="37"/>
        </w:numPr>
        <w:tabs>
          <w:tab w:val="num" w:pos="720"/>
        </w:tabs>
        <w:ind w:hanging="360"/>
        <w:rPr>
          <w:rFonts w:ascii="Arial Bold" w:eastAsia="Arial Bold" w:hAnsi="Arial Bold" w:cs="Arial Bold"/>
        </w:rPr>
      </w:pPr>
      <w:r>
        <w:rPr>
          <w:rFonts w:ascii="Arial Bold"/>
        </w:rPr>
        <w:t>Ruchill/Possilpark</w:t>
      </w:r>
    </w:p>
    <w:p w:rsidR="007841E1" w:rsidRDefault="00C5586E" w:rsidP="00C5586E">
      <w:pPr>
        <w:pStyle w:val="ListParagraph"/>
        <w:numPr>
          <w:ilvl w:val="0"/>
          <w:numId w:val="38"/>
        </w:numPr>
        <w:tabs>
          <w:tab w:val="num" w:pos="720"/>
        </w:tabs>
        <w:ind w:hanging="360"/>
        <w:rPr>
          <w:rFonts w:ascii="Arial Bold" w:eastAsia="Arial Bold" w:hAnsi="Arial Bold" w:cs="Arial Bold"/>
        </w:rPr>
      </w:pPr>
      <w:r>
        <w:rPr>
          <w:rFonts w:ascii="Arial Bold"/>
        </w:rPr>
        <w:t>Drumchapel</w:t>
      </w:r>
    </w:p>
    <w:p w:rsidR="007841E1" w:rsidRDefault="00C5586E" w:rsidP="00C5586E">
      <w:pPr>
        <w:pStyle w:val="ListParagraph"/>
        <w:numPr>
          <w:ilvl w:val="0"/>
          <w:numId w:val="39"/>
        </w:numPr>
        <w:tabs>
          <w:tab w:val="num" w:pos="720"/>
        </w:tabs>
        <w:ind w:hanging="360"/>
        <w:rPr>
          <w:rFonts w:ascii="Arial Bold" w:eastAsia="Arial Bold" w:hAnsi="Arial Bold" w:cs="Arial Bold"/>
        </w:rPr>
      </w:pPr>
      <w:r>
        <w:rPr>
          <w:rFonts w:ascii="Arial Bold"/>
        </w:rPr>
        <w:t>Lambhill/Milton</w:t>
      </w:r>
    </w:p>
    <w:p w:rsidR="003B7F1F" w:rsidRDefault="003B7F1F">
      <w:pPr>
        <w:pStyle w:val="ListParagraph"/>
        <w:ind w:left="0"/>
        <w:rPr>
          <w:rFonts w:ascii="Arial Bold"/>
        </w:rPr>
      </w:pPr>
    </w:p>
    <w:p w:rsidR="007841E1" w:rsidRDefault="00C5586E">
      <w:pPr>
        <w:pStyle w:val="ListParagraph"/>
        <w:ind w:left="0"/>
        <w:rPr>
          <w:rFonts w:ascii="Arial Bold" w:eastAsia="Arial Bold" w:hAnsi="Arial Bold" w:cs="Arial Bold"/>
        </w:rPr>
      </w:pPr>
      <w:r>
        <w:rPr>
          <w:rFonts w:ascii="Arial Bold"/>
        </w:rPr>
        <w:t>North East Sector:</w:t>
      </w:r>
    </w:p>
    <w:p w:rsidR="007841E1" w:rsidRDefault="00C5586E" w:rsidP="00C5586E">
      <w:pPr>
        <w:pStyle w:val="ListParagraph"/>
        <w:numPr>
          <w:ilvl w:val="0"/>
          <w:numId w:val="40"/>
        </w:numPr>
        <w:tabs>
          <w:tab w:val="num" w:pos="720"/>
        </w:tabs>
        <w:ind w:hanging="360"/>
        <w:rPr>
          <w:rFonts w:ascii="Arial Bold" w:eastAsia="Arial Bold" w:hAnsi="Arial Bold" w:cs="Arial Bold"/>
        </w:rPr>
      </w:pPr>
      <w:r>
        <w:rPr>
          <w:rFonts w:ascii="Arial Bold"/>
        </w:rPr>
        <w:t>Parkhead/Dalmarnock</w:t>
      </w:r>
    </w:p>
    <w:p w:rsidR="007841E1" w:rsidRDefault="00C5586E" w:rsidP="00C5586E">
      <w:pPr>
        <w:pStyle w:val="ListParagraph"/>
        <w:numPr>
          <w:ilvl w:val="0"/>
          <w:numId w:val="41"/>
        </w:numPr>
        <w:tabs>
          <w:tab w:val="num" w:pos="720"/>
        </w:tabs>
        <w:ind w:hanging="360"/>
        <w:rPr>
          <w:rFonts w:ascii="Arial Bold" w:eastAsia="Arial Bold" w:hAnsi="Arial Bold" w:cs="Arial Bold"/>
        </w:rPr>
      </w:pPr>
      <w:r>
        <w:rPr>
          <w:rFonts w:ascii="Arial Bold"/>
        </w:rPr>
        <w:t>Easterhouse</w:t>
      </w:r>
    </w:p>
    <w:p w:rsidR="007841E1" w:rsidRDefault="00C5586E" w:rsidP="00C5586E">
      <w:pPr>
        <w:pStyle w:val="ListParagraph"/>
        <w:numPr>
          <w:ilvl w:val="0"/>
          <w:numId w:val="42"/>
        </w:numPr>
        <w:tabs>
          <w:tab w:val="num" w:pos="720"/>
        </w:tabs>
        <w:ind w:hanging="360"/>
        <w:rPr>
          <w:rFonts w:ascii="Arial Bold" w:eastAsia="Arial Bold" w:hAnsi="Arial Bold" w:cs="Arial Bold"/>
        </w:rPr>
      </w:pPr>
      <w:r>
        <w:rPr>
          <w:rFonts w:ascii="Arial Bold"/>
        </w:rPr>
        <w:t>Springboig &amp; Barlanark</w:t>
      </w:r>
    </w:p>
    <w:p w:rsidR="003B7F1F" w:rsidRDefault="003B7F1F">
      <w:pPr>
        <w:pStyle w:val="ListParagraph"/>
        <w:ind w:left="0"/>
        <w:rPr>
          <w:rFonts w:ascii="Arial Bold"/>
        </w:rPr>
      </w:pPr>
    </w:p>
    <w:p w:rsidR="007841E1" w:rsidRDefault="00C5586E">
      <w:pPr>
        <w:pStyle w:val="ListParagraph"/>
        <w:ind w:left="0"/>
        <w:rPr>
          <w:rFonts w:ascii="Arial Bold" w:eastAsia="Arial Bold" w:hAnsi="Arial Bold" w:cs="Arial Bold"/>
        </w:rPr>
      </w:pPr>
      <w:r>
        <w:rPr>
          <w:rFonts w:ascii="Arial Bold"/>
        </w:rPr>
        <w:t>South Sector</w:t>
      </w:r>
    </w:p>
    <w:p w:rsidR="007841E1" w:rsidRDefault="00C5586E" w:rsidP="00C5586E">
      <w:pPr>
        <w:pStyle w:val="ListParagraph"/>
        <w:numPr>
          <w:ilvl w:val="0"/>
          <w:numId w:val="43"/>
        </w:numPr>
        <w:tabs>
          <w:tab w:val="num" w:pos="720"/>
        </w:tabs>
        <w:ind w:hanging="360"/>
        <w:rPr>
          <w:rFonts w:ascii="Arial Bold" w:eastAsia="Arial Bold" w:hAnsi="Arial Bold" w:cs="Arial Bold"/>
        </w:rPr>
      </w:pPr>
      <w:r>
        <w:rPr>
          <w:rFonts w:ascii="Arial Bold"/>
        </w:rPr>
        <w:t>Priesthill/ Househillwood</w:t>
      </w:r>
    </w:p>
    <w:p w:rsidR="007841E1" w:rsidRDefault="00C5586E" w:rsidP="00C5586E">
      <w:pPr>
        <w:pStyle w:val="ListParagraph"/>
        <w:numPr>
          <w:ilvl w:val="0"/>
          <w:numId w:val="44"/>
        </w:numPr>
        <w:tabs>
          <w:tab w:val="num" w:pos="720"/>
        </w:tabs>
        <w:ind w:hanging="360"/>
        <w:rPr>
          <w:rFonts w:ascii="Arial Bold" w:eastAsia="Arial Bold" w:hAnsi="Arial Bold" w:cs="Arial Bold"/>
        </w:rPr>
      </w:pPr>
      <w:r>
        <w:rPr>
          <w:rFonts w:ascii="Arial Bold"/>
        </w:rPr>
        <w:t>Greater Gorbals</w:t>
      </w:r>
    </w:p>
    <w:p w:rsidR="007841E1" w:rsidRDefault="00C5586E" w:rsidP="00C5586E">
      <w:pPr>
        <w:pStyle w:val="ListParagraph"/>
        <w:numPr>
          <w:ilvl w:val="0"/>
          <w:numId w:val="45"/>
        </w:numPr>
        <w:tabs>
          <w:tab w:val="num" w:pos="720"/>
        </w:tabs>
        <w:ind w:hanging="360"/>
        <w:rPr>
          <w:rFonts w:ascii="Arial Bold" w:eastAsia="Arial Bold" w:hAnsi="Arial Bold" w:cs="Arial Bold"/>
        </w:rPr>
      </w:pPr>
      <w:r>
        <w:rPr>
          <w:rFonts w:ascii="Arial Bold"/>
        </w:rPr>
        <w:t>Govan</w:t>
      </w:r>
    </w:p>
    <w:p w:rsidR="00CB61B3" w:rsidRDefault="00CB61B3">
      <w:pPr>
        <w:pStyle w:val="Body"/>
        <w:jc w:val="both"/>
        <w:rPr>
          <w:rFonts w:ascii="Arial Bold"/>
          <w:sz w:val="22"/>
          <w:szCs w:val="22"/>
          <w:lang w:val="en-US"/>
        </w:rPr>
      </w:pPr>
    </w:p>
    <w:p w:rsidR="003B7F1F" w:rsidRDefault="003B7F1F">
      <w:pPr>
        <w:pStyle w:val="Body"/>
        <w:jc w:val="both"/>
        <w:rPr>
          <w:rFonts w:ascii="Arial Bold"/>
          <w:sz w:val="22"/>
          <w:szCs w:val="22"/>
          <w:lang w:val="en-US"/>
        </w:rPr>
      </w:pPr>
    </w:p>
    <w:p w:rsidR="007841E1" w:rsidRDefault="00C5586E">
      <w:pPr>
        <w:pStyle w:val="Body"/>
        <w:jc w:val="both"/>
        <w:rPr>
          <w:rFonts w:ascii="Arial Bold"/>
          <w:sz w:val="22"/>
          <w:szCs w:val="22"/>
          <w:lang w:val="en-US"/>
        </w:rPr>
      </w:pPr>
      <w:r>
        <w:rPr>
          <w:rFonts w:ascii="Arial Bold"/>
          <w:sz w:val="22"/>
          <w:szCs w:val="22"/>
          <w:lang w:val="en-US"/>
        </w:rPr>
        <w:lastRenderedPageBreak/>
        <w:t xml:space="preserve">How </w:t>
      </w:r>
    </w:p>
    <w:p w:rsidR="00CB61B3" w:rsidRDefault="00CB61B3">
      <w:pPr>
        <w:pStyle w:val="Body"/>
        <w:jc w:val="both"/>
        <w:rPr>
          <w:rFonts w:ascii="Arial Bold" w:eastAsia="Arial Bold" w:hAnsi="Arial Bold" w:cs="Arial Bold"/>
          <w:sz w:val="22"/>
          <w:szCs w:val="22"/>
        </w:rPr>
      </w:pPr>
    </w:p>
    <w:p w:rsidR="007841E1" w:rsidRDefault="00C5586E">
      <w:pPr>
        <w:pStyle w:val="Body"/>
        <w:jc w:val="both"/>
        <w:rPr>
          <w:sz w:val="22"/>
          <w:szCs w:val="22"/>
        </w:rPr>
      </w:pPr>
      <w:r>
        <w:rPr>
          <w:sz w:val="22"/>
          <w:szCs w:val="22"/>
          <w:lang w:val="en-US"/>
        </w:rPr>
        <w:t>The main imperative for this approach is to make the best possible use of all the existing assets including those of the communities themselves. We have agreed a set of broad principles for the approach that might be taken in the identified neighbourhoods. These are:</w:t>
      </w:r>
    </w:p>
    <w:p w:rsidR="007841E1" w:rsidRDefault="007841E1">
      <w:pPr>
        <w:pStyle w:val="Body"/>
        <w:jc w:val="both"/>
        <w:rPr>
          <w:sz w:val="22"/>
          <w:szCs w:val="22"/>
        </w:rPr>
      </w:pPr>
    </w:p>
    <w:p w:rsidR="007841E1" w:rsidRDefault="00C5586E" w:rsidP="00C5586E">
      <w:pPr>
        <w:pStyle w:val="Body"/>
        <w:numPr>
          <w:ilvl w:val="0"/>
          <w:numId w:val="46"/>
        </w:numPr>
        <w:tabs>
          <w:tab w:val="clear" w:pos="720"/>
          <w:tab w:val="num" w:pos="687"/>
        </w:tabs>
        <w:ind w:left="687" w:hanging="327"/>
        <w:jc w:val="both"/>
      </w:pPr>
      <w:r>
        <w:rPr>
          <w:sz w:val="22"/>
          <w:szCs w:val="22"/>
          <w:lang w:val="en-US"/>
        </w:rPr>
        <w:t>we are willing and able to respond to local needs in a flexible way, and change the way in which resources are allocated if required</w:t>
      </w:r>
    </w:p>
    <w:p w:rsidR="007841E1" w:rsidRDefault="00C5586E" w:rsidP="00C5586E">
      <w:pPr>
        <w:pStyle w:val="Body"/>
        <w:numPr>
          <w:ilvl w:val="0"/>
          <w:numId w:val="47"/>
        </w:numPr>
        <w:tabs>
          <w:tab w:val="clear" w:pos="720"/>
          <w:tab w:val="num" w:pos="687"/>
        </w:tabs>
        <w:ind w:left="687" w:hanging="327"/>
        <w:jc w:val="both"/>
      </w:pPr>
      <w:r>
        <w:rPr>
          <w:sz w:val="22"/>
          <w:szCs w:val="22"/>
          <w:lang w:val="en-US"/>
        </w:rPr>
        <w:t>a long term focus on partnership working (up to 10 years if required)</w:t>
      </w:r>
    </w:p>
    <w:p w:rsidR="007841E1" w:rsidRDefault="00C5586E" w:rsidP="00C5586E">
      <w:pPr>
        <w:pStyle w:val="Body"/>
        <w:numPr>
          <w:ilvl w:val="0"/>
          <w:numId w:val="48"/>
        </w:numPr>
        <w:tabs>
          <w:tab w:val="clear" w:pos="720"/>
          <w:tab w:val="num" w:pos="687"/>
        </w:tabs>
        <w:ind w:left="687" w:hanging="327"/>
        <w:jc w:val="both"/>
      </w:pPr>
      <w:r>
        <w:rPr>
          <w:sz w:val="22"/>
          <w:szCs w:val="22"/>
          <w:lang w:val="en-US"/>
        </w:rPr>
        <w:t xml:space="preserve">joint working at a very local community level </w:t>
      </w:r>
      <w:r>
        <w:rPr>
          <w:rFonts w:hAnsi="Arial"/>
          <w:sz w:val="22"/>
          <w:szCs w:val="22"/>
        </w:rPr>
        <w:t xml:space="preserve">– </w:t>
      </w:r>
      <w:r>
        <w:rPr>
          <w:sz w:val="22"/>
          <w:szCs w:val="22"/>
          <w:lang w:val="en-US"/>
        </w:rPr>
        <w:t xml:space="preserve">more local than many previous approaches </w:t>
      </w:r>
    </w:p>
    <w:p w:rsidR="007841E1" w:rsidRDefault="00C5586E" w:rsidP="00C5586E">
      <w:pPr>
        <w:pStyle w:val="Body"/>
        <w:numPr>
          <w:ilvl w:val="0"/>
          <w:numId w:val="49"/>
        </w:numPr>
        <w:tabs>
          <w:tab w:val="clear" w:pos="720"/>
          <w:tab w:val="num" w:pos="687"/>
        </w:tabs>
        <w:ind w:left="687" w:hanging="327"/>
        <w:jc w:val="both"/>
      </w:pPr>
      <w:r>
        <w:rPr>
          <w:sz w:val="22"/>
          <w:szCs w:val="22"/>
          <w:lang w:val="en-US"/>
        </w:rPr>
        <w:t>a focus on community capacity building and working with community anchors</w:t>
      </w:r>
    </w:p>
    <w:p w:rsidR="007841E1" w:rsidRDefault="00C5586E" w:rsidP="00C5586E">
      <w:pPr>
        <w:pStyle w:val="Body"/>
        <w:numPr>
          <w:ilvl w:val="0"/>
          <w:numId w:val="50"/>
        </w:numPr>
        <w:tabs>
          <w:tab w:val="clear" w:pos="720"/>
          <w:tab w:val="num" w:pos="687"/>
        </w:tabs>
        <w:ind w:left="687" w:hanging="327"/>
        <w:jc w:val="both"/>
      </w:pPr>
      <w:r>
        <w:rPr>
          <w:sz w:val="22"/>
          <w:szCs w:val="22"/>
          <w:lang w:val="en-US"/>
        </w:rPr>
        <w:t>a focus on co-production between communities and organisations; and</w:t>
      </w:r>
    </w:p>
    <w:p w:rsidR="007841E1" w:rsidRDefault="00C5586E" w:rsidP="00C5586E">
      <w:pPr>
        <w:pStyle w:val="Body"/>
        <w:numPr>
          <w:ilvl w:val="0"/>
          <w:numId w:val="51"/>
        </w:numPr>
        <w:tabs>
          <w:tab w:val="clear" w:pos="720"/>
          <w:tab w:val="num" w:pos="687"/>
        </w:tabs>
        <w:ind w:left="687" w:hanging="327"/>
        <w:jc w:val="both"/>
      </w:pPr>
      <w:r>
        <w:rPr>
          <w:sz w:val="22"/>
          <w:szCs w:val="22"/>
          <w:lang w:val="en-US"/>
        </w:rPr>
        <w:t xml:space="preserve">intensive activity to build social capital and empower communities, making the most of the assets in a neighbourhood to do this, be they the buildings, the organisations or the people </w:t>
      </w:r>
    </w:p>
    <w:p w:rsidR="007841E1" w:rsidRDefault="007841E1">
      <w:pPr>
        <w:pStyle w:val="Body"/>
        <w:jc w:val="both"/>
        <w:rPr>
          <w:sz w:val="22"/>
          <w:szCs w:val="22"/>
        </w:rPr>
      </w:pPr>
    </w:p>
    <w:p w:rsidR="007841E1" w:rsidRDefault="00C5586E">
      <w:pPr>
        <w:pStyle w:val="Body"/>
        <w:jc w:val="both"/>
        <w:rPr>
          <w:sz w:val="22"/>
          <w:szCs w:val="22"/>
        </w:rPr>
      </w:pPr>
      <w:r>
        <w:rPr>
          <w:sz w:val="22"/>
          <w:szCs w:val="22"/>
          <w:lang w:val="en-US"/>
        </w:rPr>
        <w:t xml:space="preserve">The outcomes of this type of approach will be: </w:t>
      </w:r>
    </w:p>
    <w:p w:rsidR="007841E1" w:rsidRDefault="007841E1">
      <w:pPr>
        <w:pStyle w:val="Body"/>
        <w:jc w:val="both"/>
        <w:rPr>
          <w:sz w:val="22"/>
          <w:szCs w:val="22"/>
        </w:rPr>
      </w:pPr>
    </w:p>
    <w:p w:rsidR="007841E1" w:rsidRDefault="00C5586E" w:rsidP="00C5586E">
      <w:pPr>
        <w:pStyle w:val="Body"/>
        <w:numPr>
          <w:ilvl w:val="0"/>
          <w:numId w:val="52"/>
        </w:numPr>
        <w:tabs>
          <w:tab w:val="clear" w:pos="720"/>
          <w:tab w:val="num" w:pos="687"/>
        </w:tabs>
        <w:ind w:left="687" w:hanging="327"/>
        <w:jc w:val="both"/>
      </w:pPr>
      <w:r>
        <w:rPr>
          <w:sz w:val="22"/>
          <w:szCs w:val="22"/>
          <w:lang w:val="en-US"/>
        </w:rPr>
        <w:t>the creation of more resilient, sustainable communities which are stable, thriving and growing, and people are proud to live in</w:t>
      </w:r>
    </w:p>
    <w:p w:rsidR="007841E1" w:rsidRDefault="00C5586E" w:rsidP="00C5586E">
      <w:pPr>
        <w:pStyle w:val="Body"/>
        <w:numPr>
          <w:ilvl w:val="0"/>
          <w:numId w:val="53"/>
        </w:numPr>
        <w:tabs>
          <w:tab w:val="clear" w:pos="720"/>
          <w:tab w:val="num" w:pos="687"/>
        </w:tabs>
        <w:ind w:left="687" w:hanging="327"/>
        <w:jc w:val="both"/>
      </w:pPr>
      <w:r>
        <w:rPr>
          <w:sz w:val="22"/>
          <w:szCs w:val="22"/>
          <w:lang w:val="en-US"/>
        </w:rPr>
        <w:t>communities have more aspiration and influence over the planning and commissioning of local services by CPP partners</w:t>
      </w:r>
    </w:p>
    <w:p w:rsidR="007841E1" w:rsidRDefault="00C5586E" w:rsidP="00C5586E">
      <w:pPr>
        <w:pStyle w:val="Body"/>
        <w:numPr>
          <w:ilvl w:val="0"/>
          <w:numId w:val="54"/>
        </w:numPr>
        <w:tabs>
          <w:tab w:val="clear" w:pos="720"/>
          <w:tab w:val="num" w:pos="687"/>
        </w:tabs>
        <w:ind w:left="687" w:hanging="327"/>
        <w:jc w:val="both"/>
      </w:pPr>
      <w:r>
        <w:rPr>
          <w:sz w:val="22"/>
          <w:szCs w:val="22"/>
          <w:lang w:val="en-US"/>
        </w:rPr>
        <w:t>communities across the city which would work in partnership with CPP bodies to develop services for local residents; and</w:t>
      </w:r>
    </w:p>
    <w:p w:rsidR="007841E1" w:rsidRDefault="00C5586E" w:rsidP="00C5586E">
      <w:pPr>
        <w:pStyle w:val="Body"/>
        <w:numPr>
          <w:ilvl w:val="0"/>
          <w:numId w:val="55"/>
        </w:numPr>
        <w:tabs>
          <w:tab w:val="clear" w:pos="720"/>
          <w:tab w:val="num" w:pos="687"/>
        </w:tabs>
        <w:ind w:left="687" w:hanging="327"/>
        <w:jc w:val="both"/>
      </w:pPr>
      <w:r>
        <w:rPr>
          <w:sz w:val="22"/>
          <w:szCs w:val="22"/>
          <w:lang w:val="en-US"/>
        </w:rPr>
        <w:t>levels of demand for particular local services shift (both up and down) as both needs and awareness levels change</w:t>
      </w:r>
    </w:p>
    <w:p w:rsidR="007841E1" w:rsidRDefault="007841E1">
      <w:pPr>
        <w:pStyle w:val="Body"/>
        <w:jc w:val="both"/>
        <w:rPr>
          <w:sz w:val="22"/>
          <w:szCs w:val="22"/>
        </w:rPr>
      </w:pPr>
    </w:p>
    <w:p w:rsidR="007841E1" w:rsidRDefault="00C5586E">
      <w:pPr>
        <w:pStyle w:val="Body"/>
        <w:jc w:val="both"/>
        <w:rPr>
          <w:sz w:val="22"/>
          <w:szCs w:val="22"/>
        </w:rPr>
      </w:pPr>
      <w:r>
        <w:rPr>
          <w:sz w:val="22"/>
          <w:szCs w:val="22"/>
          <w:lang w:val="en-US"/>
        </w:rPr>
        <w:t xml:space="preserve">We expect to see a close synergy between our thriving places approach and vulnerable persons priority as many of the activities envisaged will seek to achieve the same outcomes </w:t>
      </w:r>
      <w:r>
        <w:rPr>
          <w:rFonts w:hAnsi="Arial"/>
          <w:sz w:val="22"/>
          <w:szCs w:val="22"/>
        </w:rPr>
        <w:t xml:space="preserve">– </w:t>
      </w:r>
      <w:r>
        <w:rPr>
          <w:sz w:val="22"/>
          <w:szCs w:val="22"/>
          <w:lang w:val="en-US"/>
        </w:rPr>
        <w:t xml:space="preserve">that is to support individuals and communities to become more confident, resilient and thriving. </w:t>
      </w:r>
    </w:p>
    <w:p w:rsidR="007841E1" w:rsidRDefault="007841E1">
      <w:pPr>
        <w:pStyle w:val="Body"/>
        <w:jc w:val="both"/>
        <w:rPr>
          <w:sz w:val="22"/>
          <w:szCs w:val="22"/>
        </w:rPr>
      </w:pPr>
    </w:p>
    <w:p w:rsidR="007841E1" w:rsidRDefault="00C5586E">
      <w:pPr>
        <w:pStyle w:val="Body"/>
        <w:jc w:val="both"/>
        <w:rPr>
          <w:sz w:val="22"/>
          <w:szCs w:val="22"/>
        </w:rPr>
      </w:pPr>
      <w:r>
        <w:rPr>
          <w:sz w:val="22"/>
          <w:szCs w:val="22"/>
          <w:lang w:val="en-US"/>
        </w:rPr>
        <w:t xml:space="preserve">An important element of the approach will be to identify the conditions that can support the sort of community described above, where residents have influence over the development of services within local communities. This will be supported by an asset mapping exercise for each of the designated neighbourhoods, including the physical assets, local groups or organisations, and individuals themselves. A key element of the approach will be to focus as much on exploiting the strengths of local assets and releasing capacity, as well as identifying the deficits. </w:t>
      </w:r>
    </w:p>
    <w:p w:rsidR="007841E1" w:rsidRDefault="007841E1">
      <w:pPr>
        <w:pStyle w:val="Body"/>
        <w:jc w:val="both"/>
        <w:rPr>
          <w:sz w:val="22"/>
          <w:szCs w:val="22"/>
        </w:rPr>
      </w:pPr>
    </w:p>
    <w:p w:rsidR="007841E1" w:rsidRDefault="00C5586E">
      <w:pPr>
        <w:pStyle w:val="Body"/>
        <w:jc w:val="both"/>
        <w:rPr>
          <w:sz w:val="22"/>
          <w:szCs w:val="22"/>
        </w:rPr>
      </w:pPr>
      <w:r>
        <w:rPr>
          <w:sz w:val="22"/>
          <w:szCs w:val="22"/>
          <w:lang w:val="en-US"/>
        </w:rPr>
        <w:t xml:space="preserve">We will also seek to undertake a specific equalities-based asset mapping exercise, to capture specific issues for </w:t>
      </w:r>
      <w:r>
        <w:rPr>
          <w:rFonts w:hAnsi="Arial"/>
          <w:sz w:val="22"/>
          <w:szCs w:val="22"/>
        </w:rPr>
        <w:t>‘</w:t>
      </w:r>
      <w:r>
        <w:rPr>
          <w:sz w:val="22"/>
          <w:szCs w:val="22"/>
          <w:lang w:val="en-US"/>
        </w:rPr>
        <w:t>thematic</w:t>
      </w:r>
      <w:r>
        <w:rPr>
          <w:rFonts w:hAnsi="Arial"/>
          <w:sz w:val="22"/>
          <w:szCs w:val="22"/>
          <w:lang w:val="fr-FR"/>
        </w:rPr>
        <w:t xml:space="preserve">’ </w:t>
      </w:r>
      <w:r>
        <w:rPr>
          <w:sz w:val="22"/>
          <w:szCs w:val="22"/>
          <w:lang w:val="en-US"/>
        </w:rPr>
        <w:t xml:space="preserve">communities (such as our Black &amp; Minority Ethnic; Lesbian, Gay, Bi-Sexual or Transgender; disability or faith groups). Often, such communities face additional barriers to engagement and involvement within neighbourhoods, and this needs to be understood to ensure that the neighbourhood approach is as inclusive and reflective of all residents living in a community as possible. </w:t>
      </w:r>
    </w:p>
    <w:p w:rsidR="007841E1" w:rsidRDefault="007841E1">
      <w:pPr>
        <w:pStyle w:val="Body"/>
        <w:jc w:val="both"/>
        <w:rPr>
          <w:sz w:val="22"/>
          <w:szCs w:val="22"/>
        </w:rPr>
      </w:pPr>
    </w:p>
    <w:p w:rsidR="007841E1" w:rsidRDefault="00C5586E">
      <w:pPr>
        <w:pStyle w:val="Body"/>
        <w:jc w:val="both"/>
        <w:rPr>
          <w:sz w:val="22"/>
          <w:szCs w:val="22"/>
        </w:rPr>
      </w:pPr>
      <w:r>
        <w:rPr>
          <w:sz w:val="22"/>
          <w:szCs w:val="22"/>
          <w:lang w:val="en-US"/>
        </w:rPr>
        <w:t>It will be up to Community Planning Partners locally working closely with communities to work out exactly what this approach will look like based on their understanding of what has and has not worked in the past, and the opportunities that are presenting themselves within particular parts of the city. An example of what this approach might include includes:</w:t>
      </w:r>
    </w:p>
    <w:p w:rsidR="007841E1" w:rsidRDefault="007841E1">
      <w:pPr>
        <w:pStyle w:val="Body"/>
        <w:ind w:left="360"/>
        <w:jc w:val="both"/>
        <w:rPr>
          <w:sz w:val="22"/>
          <w:szCs w:val="22"/>
        </w:rPr>
      </w:pPr>
    </w:p>
    <w:p w:rsidR="007841E1" w:rsidRDefault="00C5586E" w:rsidP="00C5586E">
      <w:pPr>
        <w:pStyle w:val="Body"/>
        <w:numPr>
          <w:ilvl w:val="0"/>
          <w:numId w:val="56"/>
        </w:numPr>
        <w:tabs>
          <w:tab w:val="num" w:pos="687"/>
          <w:tab w:val="left" w:pos="720"/>
        </w:tabs>
        <w:ind w:left="687" w:hanging="327"/>
        <w:jc w:val="both"/>
      </w:pPr>
      <w:r>
        <w:rPr>
          <w:sz w:val="22"/>
          <w:szCs w:val="22"/>
          <w:lang w:val="en-US"/>
        </w:rPr>
        <w:t xml:space="preserve">mapping out existing resources or assets in an area and identify ways in which better outcomes could be achieved through service re-design, creating some early actions for partners to be working through whilst the community engagement infrastructure is built </w:t>
      </w:r>
    </w:p>
    <w:p w:rsidR="007841E1" w:rsidRDefault="00C5586E" w:rsidP="00C5586E">
      <w:pPr>
        <w:pStyle w:val="Body"/>
        <w:numPr>
          <w:ilvl w:val="0"/>
          <w:numId w:val="57"/>
        </w:numPr>
        <w:tabs>
          <w:tab w:val="num" w:pos="687"/>
          <w:tab w:val="left" w:pos="720"/>
        </w:tabs>
        <w:ind w:left="687" w:hanging="327"/>
        <w:jc w:val="both"/>
      </w:pPr>
      <w:r>
        <w:rPr>
          <w:sz w:val="22"/>
          <w:szCs w:val="22"/>
          <w:lang w:val="en-US"/>
        </w:rPr>
        <w:lastRenderedPageBreak/>
        <w:t>shared community development across partners that supports communities to build on assets so they can take action themselves and have strong accountable community anchor organisations through which they act</w:t>
      </w:r>
    </w:p>
    <w:p w:rsidR="007841E1" w:rsidRDefault="00C5586E" w:rsidP="00C5586E">
      <w:pPr>
        <w:pStyle w:val="Body"/>
        <w:numPr>
          <w:ilvl w:val="0"/>
          <w:numId w:val="58"/>
        </w:numPr>
        <w:tabs>
          <w:tab w:val="num" w:pos="687"/>
          <w:tab w:val="left" w:pos="720"/>
        </w:tabs>
        <w:ind w:left="687" w:hanging="327"/>
        <w:jc w:val="both"/>
      </w:pPr>
      <w:r>
        <w:rPr>
          <w:sz w:val="22"/>
          <w:szCs w:val="22"/>
          <w:lang w:val="en-US"/>
        </w:rPr>
        <w:t>develop new service delivery models that maximise the use of local assets such as trust in local high quality third sector providers</w:t>
      </w:r>
    </w:p>
    <w:p w:rsidR="007841E1" w:rsidRDefault="00C5586E" w:rsidP="00C5586E">
      <w:pPr>
        <w:pStyle w:val="Body"/>
        <w:numPr>
          <w:ilvl w:val="0"/>
          <w:numId w:val="59"/>
        </w:numPr>
        <w:tabs>
          <w:tab w:val="num" w:pos="687"/>
          <w:tab w:val="left" w:pos="720"/>
        </w:tabs>
        <w:ind w:left="687" w:hanging="327"/>
        <w:jc w:val="both"/>
      </w:pPr>
      <w:r>
        <w:rPr>
          <w:sz w:val="22"/>
          <w:szCs w:val="22"/>
          <w:lang w:val="en-US"/>
        </w:rPr>
        <w:t>foster flexibility and culture change in public bodies to be responsive to communities, devolving decision-making responsibility and accountability to local staff and structures</w:t>
      </w:r>
    </w:p>
    <w:p w:rsidR="007841E1" w:rsidRDefault="00C5586E" w:rsidP="00C5586E">
      <w:pPr>
        <w:pStyle w:val="Body"/>
        <w:numPr>
          <w:ilvl w:val="0"/>
          <w:numId w:val="60"/>
        </w:numPr>
        <w:tabs>
          <w:tab w:val="num" w:pos="687"/>
          <w:tab w:val="left" w:pos="720"/>
        </w:tabs>
        <w:ind w:left="687" w:hanging="327"/>
        <w:jc w:val="both"/>
      </w:pPr>
      <w:r>
        <w:rPr>
          <w:sz w:val="22"/>
          <w:szCs w:val="22"/>
          <w:lang w:val="en-US"/>
        </w:rPr>
        <w:t>public services delivered by community anchor organisations in ways that make sense to local communities; and,</w:t>
      </w:r>
    </w:p>
    <w:p w:rsidR="007841E1" w:rsidRDefault="00C5586E" w:rsidP="00C5586E">
      <w:pPr>
        <w:pStyle w:val="Body"/>
        <w:numPr>
          <w:ilvl w:val="0"/>
          <w:numId w:val="61"/>
        </w:numPr>
        <w:tabs>
          <w:tab w:val="num" w:pos="687"/>
          <w:tab w:val="left" w:pos="720"/>
        </w:tabs>
        <w:ind w:left="687" w:hanging="327"/>
        <w:jc w:val="both"/>
      </w:pPr>
      <w:r>
        <w:rPr>
          <w:sz w:val="22"/>
          <w:szCs w:val="22"/>
          <w:lang w:val="en-US"/>
        </w:rPr>
        <w:t>a community mandate to shift investment from reactive to proactive services.</w:t>
      </w:r>
    </w:p>
    <w:p w:rsidR="007841E1" w:rsidRDefault="007841E1">
      <w:pPr>
        <w:pStyle w:val="Body"/>
        <w:jc w:val="both"/>
        <w:rPr>
          <w:sz w:val="22"/>
          <w:szCs w:val="22"/>
        </w:rPr>
      </w:pPr>
    </w:p>
    <w:p w:rsidR="007841E1" w:rsidRDefault="00C5586E">
      <w:pPr>
        <w:pStyle w:val="Body"/>
        <w:jc w:val="both"/>
        <w:rPr>
          <w:sz w:val="22"/>
          <w:szCs w:val="22"/>
        </w:rPr>
      </w:pPr>
      <w:r>
        <w:rPr>
          <w:sz w:val="22"/>
          <w:szCs w:val="22"/>
          <w:lang w:val="en-US"/>
        </w:rPr>
        <w:t>Albeit this is a long term approach, it is also possible to achieve some early changes which demonstrate that community planning partners are listening and changing the way they work.  This approach also requires work to ensure that we are able to respond to local needs in a flexible way, and change the way in which resources are allocated if required.</w:t>
      </w:r>
    </w:p>
    <w:p w:rsidR="007841E1" w:rsidRDefault="007841E1">
      <w:pPr>
        <w:pStyle w:val="Body"/>
        <w:jc w:val="both"/>
        <w:rPr>
          <w:sz w:val="22"/>
          <w:szCs w:val="22"/>
        </w:rPr>
      </w:pPr>
    </w:p>
    <w:p w:rsidR="007841E1" w:rsidRDefault="00C5586E">
      <w:pPr>
        <w:pStyle w:val="Body"/>
        <w:jc w:val="both"/>
        <w:rPr>
          <w:sz w:val="22"/>
          <w:szCs w:val="22"/>
        </w:rPr>
      </w:pPr>
      <w:r>
        <w:rPr>
          <w:sz w:val="22"/>
          <w:szCs w:val="22"/>
          <w:lang w:val="en-US"/>
        </w:rPr>
        <w:t xml:space="preserve">There are many existing proven models of delivery that follow the broad principles outlined above such as C2 </w:t>
      </w:r>
      <w:r>
        <w:rPr>
          <w:i/>
          <w:iCs/>
          <w:sz w:val="22"/>
          <w:szCs w:val="22"/>
          <w:lang w:val="en-US"/>
        </w:rPr>
        <w:t>Connecting Communities (7 step programme)</w:t>
      </w:r>
      <w:r>
        <w:rPr>
          <w:rFonts w:ascii="Times New Roman" w:eastAsia="Times New Roman" w:hAnsi="Times New Roman" w:cs="Times New Roman"/>
          <w:i/>
          <w:iCs/>
          <w:sz w:val="22"/>
          <w:szCs w:val="22"/>
          <w:vertAlign w:val="superscript"/>
        </w:rPr>
        <w:footnoteReference w:id="3"/>
      </w:r>
      <w:r>
        <w:rPr>
          <w:sz w:val="22"/>
          <w:szCs w:val="22"/>
          <w:lang w:val="en-US"/>
        </w:rPr>
        <w:t xml:space="preserve"> which we could use as a template to work with residents in these areas in order to achieve real change. The approach taken might vary within each neighbourhood targeted to reflect the circumstances and assets within each community and the capacity of Community Planning Partners within the local area.  </w:t>
      </w:r>
    </w:p>
    <w:p w:rsidR="007841E1" w:rsidRDefault="007841E1">
      <w:pPr>
        <w:pStyle w:val="Body"/>
        <w:jc w:val="both"/>
        <w:rPr>
          <w:sz w:val="22"/>
          <w:szCs w:val="22"/>
        </w:rPr>
      </w:pPr>
    </w:p>
    <w:p w:rsidR="007841E1" w:rsidRDefault="00C5586E">
      <w:pPr>
        <w:pStyle w:val="Body"/>
        <w:jc w:val="both"/>
        <w:rPr>
          <w:sz w:val="22"/>
          <w:szCs w:val="22"/>
        </w:rPr>
      </w:pPr>
      <w:r>
        <w:rPr>
          <w:sz w:val="22"/>
          <w:szCs w:val="22"/>
          <w:lang w:val="en-US"/>
        </w:rPr>
        <w:t xml:space="preserve">Building capacity within communities and working with key local assets will be crucial in this process. The </w:t>
      </w:r>
      <w:r>
        <w:rPr>
          <w:i/>
          <w:iCs/>
          <w:sz w:val="22"/>
          <w:szCs w:val="22"/>
          <w:lang w:val="en-US"/>
        </w:rPr>
        <w:t>Glasgow Learning Partnership</w:t>
      </w:r>
      <w:r>
        <w:rPr>
          <w:sz w:val="22"/>
          <w:szCs w:val="22"/>
          <w:lang w:val="en-US"/>
        </w:rPr>
        <w:t xml:space="preserve"> will have an important role to play as its work is reoriented to the new SOA.</w:t>
      </w:r>
    </w:p>
    <w:p w:rsidR="007841E1" w:rsidRDefault="007841E1">
      <w:pPr>
        <w:pStyle w:val="Body"/>
        <w:jc w:val="both"/>
        <w:rPr>
          <w:sz w:val="22"/>
          <w:szCs w:val="22"/>
        </w:rPr>
      </w:pPr>
    </w:p>
    <w:p w:rsidR="007841E1" w:rsidRDefault="00C5586E">
      <w:pPr>
        <w:pStyle w:val="Body"/>
        <w:jc w:val="both"/>
        <w:rPr>
          <w:rFonts w:ascii="Arial Bold"/>
          <w:sz w:val="22"/>
          <w:szCs w:val="22"/>
          <w:lang w:val="en-US"/>
        </w:rPr>
      </w:pPr>
      <w:r>
        <w:rPr>
          <w:rFonts w:ascii="Arial Bold"/>
          <w:sz w:val="22"/>
          <w:szCs w:val="22"/>
          <w:lang w:val="en-US"/>
        </w:rPr>
        <w:t>Monitoring progress</w:t>
      </w:r>
    </w:p>
    <w:p w:rsidR="00CB61B3" w:rsidRDefault="00CB61B3">
      <w:pPr>
        <w:pStyle w:val="Body"/>
        <w:jc w:val="both"/>
        <w:rPr>
          <w:rFonts w:ascii="Arial Bold" w:eastAsia="Arial Bold" w:hAnsi="Arial Bold" w:cs="Arial Bold"/>
          <w:sz w:val="22"/>
          <w:szCs w:val="22"/>
        </w:rPr>
      </w:pPr>
    </w:p>
    <w:p w:rsidR="007841E1" w:rsidRDefault="00C5586E">
      <w:pPr>
        <w:pStyle w:val="Body"/>
        <w:jc w:val="both"/>
        <w:rPr>
          <w:sz w:val="22"/>
          <w:szCs w:val="22"/>
        </w:rPr>
      </w:pPr>
      <w:r>
        <w:rPr>
          <w:sz w:val="22"/>
          <w:szCs w:val="22"/>
          <w:lang w:val="en-US"/>
        </w:rPr>
        <w:t xml:space="preserve">Additional close monitoring of these areas will be undertaken over the lifetime of the SOA. We will expect to see a relative </w:t>
      </w:r>
      <w:r>
        <w:rPr>
          <w:i/>
          <w:iCs/>
          <w:sz w:val="22"/>
          <w:szCs w:val="22"/>
        </w:rPr>
        <w:t>and</w:t>
      </w:r>
      <w:r>
        <w:rPr>
          <w:sz w:val="22"/>
          <w:szCs w:val="22"/>
          <w:lang w:val="en-US"/>
        </w:rPr>
        <w:t xml:space="preserve"> absolute improvement in multiple measures of deprivation (including but not exclusively tracked through the SIMD), with the rate of improvement greater than comparator areas where the above approach has not been initially adopted. </w:t>
      </w:r>
    </w:p>
    <w:p w:rsidR="007841E1" w:rsidRDefault="007841E1">
      <w:pPr>
        <w:pStyle w:val="Body"/>
        <w:jc w:val="both"/>
        <w:rPr>
          <w:sz w:val="22"/>
          <w:szCs w:val="22"/>
        </w:rPr>
      </w:pPr>
    </w:p>
    <w:p w:rsidR="007841E1" w:rsidRDefault="00C5586E">
      <w:pPr>
        <w:pStyle w:val="Body"/>
        <w:jc w:val="both"/>
        <w:rPr>
          <w:sz w:val="22"/>
          <w:szCs w:val="22"/>
        </w:rPr>
      </w:pPr>
      <w:r>
        <w:rPr>
          <w:sz w:val="22"/>
          <w:szCs w:val="22"/>
          <w:lang w:val="en-US"/>
        </w:rPr>
        <w:t xml:space="preserve">In addition, we will monitor and expect progress in these target areas across measures of social capital, including engagement, involvement, influence and connectivity. We will also monitor the impact of progress against key measures of satisfaction of living in local neighbourhoods, many of which are already tracked through the CPP </w:t>
      </w:r>
      <w:r>
        <w:rPr>
          <w:i/>
          <w:iCs/>
          <w:sz w:val="22"/>
          <w:szCs w:val="22"/>
          <w:lang w:val="en-US"/>
        </w:rPr>
        <w:t>Neighbourhood Management survey</w:t>
      </w:r>
      <w:r>
        <w:rPr>
          <w:sz w:val="22"/>
          <w:szCs w:val="22"/>
          <w:lang w:val="en-US"/>
        </w:rPr>
        <w:t xml:space="preserve"> and other partnership monitoring. These measures will be identified and agreed as part of the SOA implementation planning process.</w:t>
      </w:r>
    </w:p>
    <w:p w:rsidR="007841E1" w:rsidRDefault="007841E1">
      <w:pPr>
        <w:pStyle w:val="Body"/>
        <w:jc w:val="both"/>
        <w:rPr>
          <w:sz w:val="22"/>
          <w:szCs w:val="22"/>
        </w:rPr>
      </w:pPr>
    </w:p>
    <w:p w:rsidR="007841E1" w:rsidRPr="003B7F1F" w:rsidRDefault="00C5586E" w:rsidP="003B7F1F">
      <w:pPr>
        <w:pStyle w:val="Body"/>
        <w:jc w:val="both"/>
        <w:rPr>
          <w:sz w:val="22"/>
          <w:szCs w:val="22"/>
        </w:rPr>
        <w:sectPr w:rsidR="007841E1" w:rsidRPr="003B7F1F" w:rsidSect="003B7F1F">
          <w:headerReference w:type="default" r:id="rId13"/>
          <w:footerReference w:type="default" r:id="rId14"/>
          <w:type w:val="continuous"/>
          <w:pgSz w:w="12240" w:h="15840"/>
          <w:pgMar w:top="709" w:right="1325" w:bottom="851" w:left="1418" w:header="720" w:footer="720" w:gutter="0"/>
          <w:cols w:space="720"/>
        </w:sectPr>
      </w:pPr>
      <w:r>
        <w:rPr>
          <w:sz w:val="22"/>
          <w:szCs w:val="22"/>
          <w:lang w:val="en-US"/>
        </w:rPr>
        <w:t xml:space="preserve">Each of the three new local Sector CPP partnerships in the city will have a central role in this monitoring process for those neighbourhoods within their own boundaries.  </w:t>
      </w:r>
    </w:p>
    <w:p w:rsidR="006D24FE" w:rsidRDefault="00C5586E" w:rsidP="00195F29">
      <w:pPr>
        <w:pStyle w:val="Body"/>
        <w:jc w:val="center"/>
        <w:outlineLvl w:val="0"/>
        <w:rPr>
          <w:rFonts w:ascii="Arial Bold"/>
          <w:sz w:val="22"/>
          <w:szCs w:val="22"/>
        </w:rPr>
      </w:pPr>
      <w:r>
        <w:rPr>
          <w:rFonts w:ascii="Arial Bold"/>
          <w:sz w:val="22"/>
          <w:szCs w:val="22"/>
        </w:rPr>
        <w:lastRenderedPageBreak/>
        <w:t>Glasgow City</w:t>
      </w:r>
    </w:p>
    <w:p w:rsidR="006D24FE" w:rsidRDefault="006D24FE" w:rsidP="006D24FE">
      <w:pPr>
        <w:pStyle w:val="Body"/>
        <w:jc w:val="center"/>
        <w:outlineLvl w:val="0"/>
        <w:rPr>
          <w:rFonts w:ascii="Arial Bold"/>
          <w:sz w:val="22"/>
          <w:szCs w:val="22"/>
        </w:rPr>
      </w:pPr>
    </w:p>
    <w:p w:rsidR="007841E1" w:rsidRDefault="00C5586E" w:rsidP="006D24FE">
      <w:pPr>
        <w:pStyle w:val="Body"/>
        <w:jc w:val="center"/>
        <w:outlineLvl w:val="0"/>
        <w:rPr>
          <w:rFonts w:ascii="Arial Bold" w:eastAsia="Arial Bold" w:hAnsi="Arial Bold" w:cs="Arial Bold"/>
          <w:sz w:val="22"/>
          <w:szCs w:val="22"/>
        </w:rPr>
      </w:pPr>
      <w:r>
        <w:rPr>
          <w:rFonts w:ascii="Arial Bold"/>
          <w:sz w:val="22"/>
          <w:szCs w:val="22"/>
          <w:lang w:val="en-US"/>
        </w:rPr>
        <w:t>Community Health Partnership</w:t>
      </w:r>
    </w:p>
    <w:p w:rsidR="007841E1" w:rsidRDefault="007841E1">
      <w:pPr>
        <w:pStyle w:val="Body"/>
        <w:rPr>
          <w:sz w:val="22"/>
          <w:szCs w:val="22"/>
        </w:rPr>
      </w:pP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3"/>
        <w:gridCol w:w="7815"/>
      </w:tblGrid>
      <w:tr w:rsidR="007841E1" w:rsidTr="006D24FE">
        <w:trPr>
          <w:trHeight w:val="473"/>
        </w:trPr>
        <w:tc>
          <w:tcPr>
            <w:tcW w:w="1833" w:type="dxa"/>
            <w:shd w:val="clear" w:color="auto" w:fill="auto"/>
            <w:tcMar>
              <w:top w:w="80" w:type="dxa"/>
              <w:left w:w="80" w:type="dxa"/>
              <w:bottom w:w="80" w:type="dxa"/>
              <w:right w:w="80" w:type="dxa"/>
            </w:tcMar>
          </w:tcPr>
          <w:p w:rsidR="007841E1" w:rsidRDefault="00C5586E">
            <w:pPr>
              <w:pStyle w:val="Body"/>
            </w:pPr>
            <w:r>
              <w:rPr>
                <w:sz w:val="22"/>
                <w:szCs w:val="22"/>
                <w:lang w:val="en-US"/>
              </w:rPr>
              <w:t>Report To:</w:t>
            </w:r>
          </w:p>
        </w:tc>
        <w:tc>
          <w:tcPr>
            <w:tcW w:w="7815" w:type="dxa"/>
            <w:shd w:val="clear" w:color="auto" w:fill="auto"/>
            <w:tcMar>
              <w:top w:w="80" w:type="dxa"/>
              <w:left w:w="80" w:type="dxa"/>
              <w:bottom w:w="80" w:type="dxa"/>
              <w:right w:w="80" w:type="dxa"/>
            </w:tcMar>
          </w:tcPr>
          <w:p w:rsidR="007841E1" w:rsidRDefault="00C5586E">
            <w:pPr>
              <w:pStyle w:val="Body"/>
              <w:rPr>
                <w:sz w:val="22"/>
                <w:szCs w:val="22"/>
                <w:lang w:val="en-US"/>
              </w:rPr>
            </w:pPr>
            <w:r>
              <w:rPr>
                <w:sz w:val="22"/>
                <w:szCs w:val="22"/>
                <w:lang w:val="en-US"/>
              </w:rPr>
              <w:t>GCPP Executive Group</w:t>
            </w:r>
          </w:p>
        </w:tc>
      </w:tr>
      <w:tr w:rsidR="007841E1" w:rsidTr="006D24FE">
        <w:trPr>
          <w:trHeight w:val="713"/>
        </w:trPr>
        <w:tc>
          <w:tcPr>
            <w:tcW w:w="1833" w:type="dxa"/>
            <w:shd w:val="clear" w:color="auto" w:fill="auto"/>
            <w:tcMar>
              <w:top w:w="80" w:type="dxa"/>
              <w:left w:w="80" w:type="dxa"/>
              <w:bottom w:w="80" w:type="dxa"/>
              <w:right w:w="80" w:type="dxa"/>
            </w:tcMar>
          </w:tcPr>
          <w:p w:rsidR="007841E1" w:rsidRDefault="007841E1">
            <w:pPr>
              <w:pStyle w:val="Body"/>
              <w:rPr>
                <w:sz w:val="22"/>
                <w:szCs w:val="22"/>
                <w:lang w:val="en-US"/>
              </w:rPr>
            </w:pPr>
          </w:p>
          <w:p w:rsidR="007841E1" w:rsidRDefault="00C5586E">
            <w:pPr>
              <w:pStyle w:val="Body"/>
            </w:pPr>
            <w:r>
              <w:rPr>
                <w:sz w:val="22"/>
                <w:szCs w:val="22"/>
                <w:lang w:val="en-US"/>
              </w:rPr>
              <w:t>Report By:</w:t>
            </w:r>
          </w:p>
        </w:tc>
        <w:tc>
          <w:tcPr>
            <w:tcW w:w="7815" w:type="dxa"/>
            <w:shd w:val="clear" w:color="auto" w:fill="auto"/>
            <w:tcMar>
              <w:top w:w="80" w:type="dxa"/>
              <w:left w:w="80" w:type="dxa"/>
              <w:bottom w:w="80" w:type="dxa"/>
              <w:right w:w="80" w:type="dxa"/>
            </w:tcMar>
          </w:tcPr>
          <w:p w:rsidR="007841E1" w:rsidRDefault="007841E1">
            <w:pPr>
              <w:pStyle w:val="Body"/>
              <w:rPr>
                <w:sz w:val="22"/>
                <w:szCs w:val="22"/>
                <w:lang w:val="en-US"/>
              </w:rPr>
            </w:pPr>
          </w:p>
          <w:p w:rsidR="007841E1" w:rsidRDefault="00C5586E">
            <w:pPr>
              <w:pStyle w:val="Body"/>
            </w:pPr>
            <w:r>
              <w:rPr>
                <w:sz w:val="22"/>
                <w:szCs w:val="22"/>
                <w:lang w:val="en-US"/>
              </w:rPr>
              <w:t>Suzanne Glennie, Glasgow CHP, Bronagh Gallagher, Third Sector Forum, Mike Thomson, Glasgow City Council</w:t>
            </w:r>
          </w:p>
        </w:tc>
      </w:tr>
      <w:tr w:rsidR="007841E1" w:rsidTr="006D24FE">
        <w:trPr>
          <w:trHeight w:val="473"/>
        </w:trPr>
        <w:tc>
          <w:tcPr>
            <w:tcW w:w="1833" w:type="dxa"/>
            <w:shd w:val="clear" w:color="auto" w:fill="auto"/>
            <w:tcMar>
              <w:top w:w="80" w:type="dxa"/>
              <w:left w:w="80" w:type="dxa"/>
              <w:bottom w:w="80" w:type="dxa"/>
              <w:right w:w="80" w:type="dxa"/>
            </w:tcMar>
          </w:tcPr>
          <w:p w:rsidR="007841E1" w:rsidRDefault="007841E1">
            <w:pPr>
              <w:pStyle w:val="Body"/>
              <w:rPr>
                <w:sz w:val="22"/>
                <w:szCs w:val="22"/>
                <w:lang w:val="en-US"/>
              </w:rPr>
            </w:pPr>
          </w:p>
          <w:p w:rsidR="007841E1" w:rsidRDefault="00C5586E">
            <w:pPr>
              <w:pStyle w:val="Body"/>
            </w:pPr>
            <w:r>
              <w:rPr>
                <w:sz w:val="22"/>
                <w:szCs w:val="22"/>
                <w:lang w:val="en-US"/>
              </w:rPr>
              <w:t>Date:</w:t>
            </w:r>
          </w:p>
        </w:tc>
        <w:tc>
          <w:tcPr>
            <w:tcW w:w="7815" w:type="dxa"/>
            <w:shd w:val="clear" w:color="auto" w:fill="auto"/>
            <w:tcMar>
              <w:top w:w="80" w:type="dxa"/>
              <w:left w:w="80" w:type="dxa"/>
              <w:bottom w:w="80" w:type="dxa"/>
              <w:right w:w="80" w:type="dxa"/>
            </w:tcMar>
          </w:tcPr>
          <w:p w:rsidR="007841E1" w:rsidRDefault="007841E1">
            <w:pPr>
              <w:pStyle w:val="Body"/>
              <w:rPr>
                <w:sz w:val="22"/>
                <w:szCs w:val="22"/>
                <w:lang w:val="en-US"/>
              </w:rPr>
            </w:pPr>
          </w:p>
          <w:p w:rsidR="007841E1" w:rsidRDefault="00C5586E">
            <w:pPr>
              <w:pStyle w:val="Body"/>
            </w:pPr>
            <w:r>
              <w:rPr>
                <w:sz w:val="22"/>
                <w:szCs w:val="22"/>
                <w:lang w:val="en-US"/>
              </w:rPr>
              <w:t>04 December 2013</w:t>
            </w:r>
          </w:p>
        </w:tc>
      </w:tr>
      <w:tr w:rsidR="007841E1" w:rsidTr="006D24FE">
        <w:trPr>
          <w:trHeight w:val="718"/>
        </w:trPr>
        <w:tc>
          <w:tcPr>
            <w:tcW w:w="1833" w:type="dxa"/>
            <w:shd w:val="clear" w:color="auto" w:fill="auto"/>
            <w:tcMar>
              <w:top w:w="80" w:type="dxa"/>
              <w:left w:w="80" w:type="dxa"/>
              <w:bottom w:w="80" w:type="dxa"/>
              <w:right w:w="80" w:type="dxa"/>
            </w:tcMar>
          </w:tcPr>
          <w:p w:rsidR="007841E1" w:rsidRDefault="007841E1">
            <w:pPr>
              <w:pStyle w:val="Body"/>
              <w:rPr>
                <w:sz w:val="22"/>
                <w:szCs w:val="22"/>
                <w:lang w:val="en-US"/>
              </w:rPr>
            </w:pPr>
          </w:p>
          <w:p w:rsidR="007841E1" w:rsidRDefault="00C5586E">
            <w:pPr>
              <w:pStyle w:val="Body"/>
              <w:rPr>
                <w:sz w:val="22"/>
                <w:szCs w:val="22"/>
                <w:lang w:val="en-US"/>
              </w:rPr>
            </w:pPr>
            <w:r>
              <w:rPr>
                <w:sz w:val="22"/>
                <w:szCs w:val="22"/>
                <w:lang w:val="en-US"/>
              </w:rPr>
              <w:t xml:space="preserve">Subject: </w:t>
            </w:r>
          </w:p>
        </w:tc>
        <w:tc>
          <w:tcPr>
            <w:tcW w:w="7815" w:type="dxa"/>
            <w:shd w:val="clear" w:color="auto" w:fill="auto"/>
            <w:tcMar>
              <w:top w:w="80" w:type="dxa"/>
              <w:left w:w="80" w:type="dxa"/>
              <w:bottom w:w="80" w:type="dxa"/>
              <w:right w:w="80" w:type="dxa"/>
            </w:tcMar>
          </w:tcPr>
          <w:p w:rsidR="007841E1" w:rsidRDefault="007841E1">
            <w:pPr>
              <w:pStyle w:val="Body"/>
              <w:rPr>
                <w:sz w:val="22"/>
                <w:szCs w:val="22"/>
                <w:lang w:val="en-US"/>
              </w:rPr>
            </w:pPr>
          </w:p>
          <w:p w:rsidR="007841E1" w:rsidRDefault="00C5586E">
            <w:pPr>
              <w:pStyle w:val="Body"/>
            </w:pPr>
            <w:r>
              <w:rPr>
                <w:rFonts w:ascii="Arial Bold"/>
                <w:sz w:val="22"/>
                <w:szCs w:val="22"/>
                <w:lang w:val="en-US"/>
              </w:rPr>
              <w:t>Thriving Places: An Intensive Neighbourhood Approach</w:t>
            </w:r>
          </w:p>
        </w:tc>
      </w:tr>
    </w:tbl>
    <w:p w:rsidR="007841E1" w:rsidRDefault="007841E1" w:rsidP="006D24FE">
      <w:pPr>
        <w:pStyle w:val="Body"/>
        <w:rPr>
          <w:rFonts w:ascii="Arial Bold" w:eastAsia="Arial Bold" w:hAnsi="Arial Bold" w:cs="Arial Bold"/>
          <w:sz w:val="22"/>
          <w:szCs w:val="22"/>
        </w:rPr>
      </w:pPr>
    </w:p>
    <w:p w:rsidR="007841E1" w:rsidRDefault="00C5586E">
      <w:pPr>
        <w:pStyle w:val="Body"/>
        <w:ind w:left="720" w:hanging="720"/>
        <w:rPr>
          <w:sz w:val="22"/>
          <w:szCs w:val="22"/>
        </w:rPr>
      </w:pPr>
      <w:r>
        <w:rPr>
          <w:rFonts w:ascii="Arial Bold"/>
          <w:sz w:val="22"/>
          <w:szCs w:val="22"/>
          <w:lang w:val="en-US"/>
        </w:rPr>
        <w:t>1.  Purpose of the Report</w:t>
      </w:r>
    </w:p>
    <w:p w:rsidR="007841E1" w:rsidRDefault="00C5586E">
      <w:pPr>
        <w:pStyle w:val="Body"/>
        <w:ind w:left="720" w:hanging="720"/>
        <w:jc w:val="both"/>
        <w:rPr>
          <w:sz w:val="22"/>
          <w:szCs w:val="22"/>
        </w:rPr>
      </w:pPr>
      <w:r>
        <w:rPr>
          <w:sz w:val="22"/>
          <w:szCs w:val="22"/>
        </w:rPr>
        <w:tab/>
      </w:r>
    </w:p>
    <w:p w:rsidR="007841E1" w:rsidRDefault="00C5586E">
      <w:pPr>
        <w:pStyle w:val="Body"/>
        <w:jc w:val="both"/>
        <w:rPr>
          <w:sz w:val="22"/>
          <w:szCs w:val="22"/>
        </w:rPr>
      </w:pPr>
      <w:r>
        <w:rPr>
          <w:sz w:val="22"/>
          <w:szCs w:val="22"/>
          <w:lang w:val="en-US"/>
        </w:rPr>
        <w:t xml:space="preserve">A key component of the SOA is the commitment to delivering the Thriving Places approach within Glasgow. There is a commitment from community planning partners to work on a long-term basis in a number of identified neighbourhoods across the city to accelerate better outcomes with and for residents. </w:t>
      </w:r>
    </w:p>
    <w:p w:rsidR="007841E1" w:rsidRDefault="007841E1">
      <w:pPr>
        <w:pStyle w:val="Body"/>
        <w:jc w:val="both"/>
        <w:rPr>
          <w:sz w:val="22"/>
          <w:szCs w:val="22"/>
        </w:rPr>
      </w:pPr>
    </w:p>
    <w:p w:rsidR="007841E1" w:rsidRDefault="00C5586E">
      <w:pPr>
        <w:pStyle w:val="Body"/>
        <w:jc w:val="both"/>
        <w:rPr>
          <w:sz w:val="22"/>
          <w:szCs w:val="22"/>
        </w:rPr>
      </w:pPr>
      <w:r>
        <w:rPr>
          <w:sz w:val="22"/>
          <w:szCs w:val="22"/>
          <w:lang w:val="en-US"/>
        </w:rPr>
        <w:t>The neighbourhood approach recognises that for some neighbourhoods and communities, the issues are often complex and multi-layered. Therefore the solutions for these neighbourhoods need to be more flexible. The approaches we use require to make best use of the full range of resources and assets of the CPP to deliver better outcomes with and for these neighbourhoods.</w:t>
      </w:r>
    </w:p>
    <w:p w:rsidR="007841E1" w:rsidRDefault="007841E1">
      <w:pPr>
        <w:pStyle w:val="Body"/>
        <w:jc w:val="both"/>
        <w:rPr>
          <w:sz w:val="22"/>
          <w:szCs w:val="22"/>
        </w:rPr>
      </w:pPr>
    </w:p>
    <w:p w:rsidR="007841E1" w:rsidRDefault="00C5586E">
      <w:pPr>
        <w:pStyle w:val="Body"/>
        <w:jc w:val="both"/>
        <w:rPr>
          <w:sz w:val="22"/>
          <w:szCs w:val="22"/>
        </w:rPr>
      </w:pPr>
      <w:r>
        <w:rPr>
          <w:sz w:val="22"/>
          <w:szCs w:val="22"/>
          <w:lang w:val="en-US"/>
        </w:rPr>
        <w:t>The challenge is to adopt a new way of working amongst service providers, working side by side with communities, to make better use of existing resources and assets, many of which are already embedded in communities themselves. This paper outlines a proposal to allocate a dedicated resource to each sector to support this approach.</w:t>
      </w:r>
    </w:p>
    <w:p w:rsidR="007841E1" w:rsidRDefault="007841E1">
      <w:pPr>
        <w:pStyle w:val="Body"/>
        <w:jc w:val="both"/>
        <w:rPr>
          <w:sz w:val="22"/>
          <w:szCs w:val="22"/>
        </w:rPr>
      </w:pPr>
    </w:p>
    <w:p w:rsidR="007841E1" w:rsidRDefault="00C5586E">
      <w:pPr>
        <w:pStyle w:val="Body"/>
        <w:jc w:val="both"/>
        <w:rPr>
          <w:rFonts w:ascii="Arial Bold" w:eastAsia="Arial Bold" w:hAnsi="Arial Bold" w:cs="Arial Bold"/>
          <w:sz w:val="22"/>
          <w:szCs w:val="22"/>
        </w:rPr>
      </w:pPr>
      <w:r>
        <w:rPr>
          <w:rFonts w:ascii="Arial Bold"/>
          <w:sz w:val="22"/>
          <w:szCs w:val="22"/>
          <w:lang w:val="en-US"/>
        </w:rPr>
        <w:t>2.  Background</w:t>
      </w:r>
    </w:p>
    <w:p w:rsidR="007841E1" w:rsidRDefault="00C5586E">
      <w:pPr>
        <w:pStyle w:val="Default"/>
        <w:jc w:val="both"/>
        <w:rPr>
          <w:rFonts w:ascii="Arial" w:eastAsia="Arial" w:hAnsi="Arial" w:cs="Arial"/>
          <w:sz w:val="22"/>
          <w:szCs w:val="22"/>
        </w:rPr>
      </w:pPr>
      <w:r>
        <w:rPr>
          <w:rFonts w:ascii="Arial"/>
          <w:sz w:val="22"/>
          <w:szCs w:val="22"/>
        </w:rPr>
        <w:t xml:space="preserve"> </w:t>
      </w:r>
    </w:p>
    <w:p w:rsidR="007841E1" w:rsidRDefault="00C5586E">
      <w:pPr>
        <w:pStyle w:val="Default"/>
        <w:jc w:val="both"/>
        <w:rPr>
          <w:rFonts w:ascii="Arial" w:eastAsia="Arial" w:hAnsi="Arial" w:cs="Arial"/>
          <w:sz w:val="22"/>
          <w:szCs w:val="22"/>
        </w:rPr>
      </w:pPr>
      <w:r>
        <w:rPr>
          <w:rFonts w:ascii="Arial"/>
          <w:sz w:val="22"/>
          <w:szCs w:val="22"/>
        </w:rPr>
        <w:t>There is commitment and enthusiasm from a range of partners to begin to progress work under the Thriving Places agenda. At the Sector Partnership meetings in August 2013 agreement was reached on the initial targeted neighbourhoods across the City following consideration by the relevant SOGs, these being Ruchi</w:t>
      </w:r>
      <w:r w:rsidR="000C3A86">
        <w:rPr>
          <w:rFonts w:ascii="Arial"/>
          <w:sz w:val="22"/>
          <w:szCs w:val="22"/>
        </w:rPr>
        <w:t>l</w:t>
      </w:r>
      <w:r>
        <w:rPr>
          <w:rFonts w:ascii="Arial"/>
          <w:sz w:val="22"/>
          <w:szCs w:val="22"/>
        </w:rPr>
        <w:t xml:space="preserve">l/Possilpark in the North West, Parkhead/Dalmarnock in the North East and Gorbals in the South. By selecting one area to begin with, it is intended that this will assist senior officers to </w:t>
      </w:r>
      <w:r>
        <w:rPr>
          <w:rFonts w:hAnsi="Arial"/>
          <w:sz w:val="22"/>
          <w:szCs w:val="22"/>
        </w:rPr>
        <w:t>“</w:t>
      </w:r>
      <w:r>
        <w:rPr>
          <w:rFonts w:ascii="Arial"/>
          <w:sz w:val="22"/>
          <w:szCs w:val="22"/>
        </w:rPr>
        <w:t>test</w:t>
      </w:r>
      <w:r>
        <w:rPr>
          <w:rFonts w:hAnsi="Arial"/>
          <w:sz w:val="22"/>
          <w:szCs w:val="22"/>
        </w:rPr>
        <w:t>”</w:t>
      </w:r>
      <w:r>
        <w:rPr>
          <w:rFonts w:hAnsi="Arial"/>
          <w:sz w:val="22"/>
          <w:szCs w:val="22"/>
        </w:rPr>
        <w:t xml:space="preserve"> </w:t>
      </w:r>
      <w:r>
        <w:rPr>
          <w:rFonts w:ascii="Arial"/>
          <w:sz w:val="22"/>
          <w:szCs w:val="22"/>
        </w:rPr>
        <w:t>out the approach to be adopted within the other 6 priority neighbourhoods previously identified (2 per sector). This will allow future approaches for these additional areas to be scoped out in 2014 in the light of experience in the initial pilot areas.</w:t>
      </w:r>
    </w:p>
    <w:p w:rsidR="007841E1" w:rsidRDefault="007841E1">
      <w:pPr>
        <w:pStyle w:val="Default"/>
        <w:jc w:val="both"/>
        <w:rPr>
          <w:rFonts w:ascii="Arial" w:eastAsia="Arial" w:hAnsi="Arial" w:cs="Arial"/>
          <w:sz w:val="22"/>
          <w:szCs w:val="22"/>
        </w:rPr>
      </w:pPr>
    </w:p>
    <w:p w:rsidR="007841E1" w:rsidRDefault="00C5586E">
      <w:pPr>
        <w:pStyle w:val="Default"/>
        <w:jc w:val="both"/>
        <w:rPr>
          <w:rFonts w:ascii="Arial" w:eastAsia="Arial" w:hAnsi="Arial" w:cs="Arial"/>
          <w:sz w:val="22"/>
          <w:szCs w:val="22"/>
        </w:rPr>
      </w:pPr>
      <w:r>
        <w:rPr>
          <w:rFonts w:ascii="Arial"/>
          <w:sz w:val="22"/>
          <w:szCs w:val="22"/>
        </w:rPr>
        <w:t xml:space="preserve">Where there is a lack of neighbourhood focus, opportunities may be missed in terms of building individual and community resilience alongside working to promote supportive culture(s). There is likely to be significant potential at a local level and it is important that this is supported and the ability of individuals and organised structures is nurtured to move towards sustainability and </w:t>
      </w:r>
      <w:r w:rsidR="000C3A86">
        <w:rPr>
          <w:rFonts w:ascii="Arial"/>
          <w:sz w:val="22"/>
          <w:szCs w:val="22"/>
        </w:rPr>
        <w:t>self-sufficiency</w:t>
      </w:r>
      <w:r>
        <w:rPr>
          <w:rFonts w:ascii="Arial"/>
          <w:sz w:val="22"/>
          <w:szCs w:val="22"/>
        </w:rPr>
        <w:t xml:space="preserve">. Already early work is underway to identify physical assets, it is important that this is balanced by identification of people and community assets to invest and support the development of social capital. </w:t>
      </w:r>
    </w:p>
    <w:p w:rsidR="007841E1" w:rsidRDefault="007841E1">
      <w:pPr>
        <w:pStyle w:val="Default"/>
        <w:jc w:val="both"/>
        <w:rPr>
          <w:rFonts w:ascii="Arial" w:eastAsia="Arial" w:hAnsi="Arial" w:cs="Arial"/>
          <w:sz w:val="22"/>
          <w:szCs w:val="22"/>
        </w:rPr>
      </w:pPr>
    </w:p>
    <w:p w:rsidR="007841E1" w:rsidRDefault="00C5586E">
      <w:pPr>
        <w:pStyle w:val="Default"/>
        <w:jc w:val="both"/>
        <w:rPr>
          <w:rFonts w:ascii="Arial" w:eastAsia="Arial" w:hAnsi="Arial" w:cs="Arial"/>
          <w:sz w:val="22"/>
          <w:szCs w:val="22"/>
        </w:rPr>
      </w:pPr>
      <w:r>
        <w:rPr>
          <w:rFonts w:ascii="Arial"/>
          <w:sz w:val="22"/>
          <w:szCs w:val="22"/>
        </w:rPr>
        <w:lastRenderedPageBreak/>
        <w:t xml:space="preserve">There is a potential role for the concept of </w:t>
      </w:r>
      <w:r>
        <w:rPr>
          <w:rFonts w:hAnsi="Arial"/>
          <w:sz w:val="22"/>
          <w:szCs w:val="22"/>
        </w:rPr>
        <w:t>“</w:t>
      </w:r>
      <w:r>
        <w:rPr>
          <w:rFonts w:ascii="Arial"/>
          <w:sz w:val="22"/>
          <w:szCs w:val="22"/>
        </w:rPr>
        <w:t>community organisers</w:t>
      </w:r>
      <w:r>
        <w:rPr>
          <w:rFonts w:hAnsi="Arial"/>
          <w:sz w:val="22"/>
          <w:szCs w:val="22"/>
        </w:rPr>
        <w:t>”</w:t>
      </w:r>
      <w:r>
        <w:rPr>
          <w:rFonts w:hAnsi="Arial"/>
          <w:sz w:val="22"/>
          <w:szCs w:val="22"/>
        </w:rPr>
        <w:t xml:space="preserve"> </w:t>
      </w:r>
      <w:r>
        <w:rPr>
          <w:rFonts w:ascii="Arial"/>
          <w:sz w:val="22"/>
          <w:szCs w:val="22"/>
        </w:rPr>
        <w:t xml:space="preserve">to support communities identify and build on their own strengths. There is some evidence of the benefits of this approach and the need for which has previously been identified (e.g. via Healthy Weight Communities: Final Evaluation (2011) in the Gorbals) where the allocation of a dedicated resource facilitated and enabled a wide range of engagement, participation and activity. </w:t>
      </w:r>
    </w:p>
    <w:p w:rsidR="007841E1" w:rsidRDefault="007841E1">
      <w:pPr>
        <w:pStyle w:val="Default"/>
        <w:jc w:val="both"/>
        <w:rPr>
          <w:rFonts w:ascii="Arial" w:eastAsia="Arial" w:hAnsi="Arial" w:cs="Arial"/>
          <w:sz w:val="22"/>
          <w:szCs w:val="22"/>
        </w:rPr>
      </w:pPr>
    </w:p>
    <w:p w:rsidR="007841E1" w:rsidRDefault="00C5586E">
      <w:pPr>
        <w:pStyle w:val="Body"/>
        <w:jc w:val="both"/>
        <w:rPr>
          <w:sz w:val="22"/>
          <w:szCs w:val="22"/>
        </w:rPr>
      </w:pPr>
      <w:r>
        <w:rPr>
          <w:rFonts w:ascii="Arial Bold"/>
          <w:sz w:val="22"/>
          <w:szCs w:val="22"/>
          <w:lang w:val="en-US"/>
        </w:rPr>
        <w:t>3.  Recent Learning on Neighbourhoods</w:t>
      </w:r>
    </w:p>
    <w:p w:rsidR="007841E1" w:rsidRDefault="007841E1">
      <w:pPr>
        <w:pStyle w:val="Body"/>
        <w:jc w:val="both"/>
        <w:rPr>
          <w:sz w:val="22"/>
          <w:szCs w:val="22"/>
        </w:rPr>
      </w:pPr>
    </w:p>
    <w:p w:rsidR="007841E1" w:rsidRDefault="00C5586E">
      <w:pPr>
        <w:pStyle w:val="Body"/>
        <w:jc w:val="both"/>
        <w:rPr>
          <w:sz w:val="22"/>
          <w:szCs w:val="22"/>
        </w:rPr>
      </w:pPr>
      <w:r>
        <w:rPr>
          <w:sz w:val="22"/>
          <w:szCs w:val="22"/>
          <w:lang w:val="en-US"/>
        </w:rPr>
        <w:t xml:space="preserve">There are a range of recent reports with a neighbourhood focus which provide useful learning to draw on including: </w:t>
      </w:r>
    </w:p>
    <w:p w:rsidR="007841E1" w:rsidRDefault="00C5586E" w:rsidP="00C5586E">
      <w:pPr>
        <w:pStyle w:val="Body"/>
        <w:numPr>
          <w:ilvl w:val="0"/>
          <w:numId w:val="62"/>
        </w:numPr>
        <w:tabs>
          <w:tab w:val="num" w:pos="687"/>
          <w:tab w:val="left" w:pos="720"/>
        </w:tabs>
        <w:ind w:left="687" w:hanging="327"/>
        <w:jc w:val="both"/>
      </w:pPr>
      <w:r>
        <w:rPr>
          <w:sz w:val="22"/>
          <w:szCs w:val="22"/>
          <w:lang w:val="en-US"/>
        </w:rPr>
        <w:t xml:space="preserve">Healthy Weight Communities Evaluation: Final Project Report, Glasgow     </w:t>
      </w:r>
    </w:p>
    <w:p w:rsidR="007841E1" w:rsidRDefault="00C5586E">
      <w:pPr>
        <w:pStyle w:val="Body"/>
        <w:jc w:val="both"/>
        <w:rPr>
          <w:sz w:val="22"/>
          <w:szCs w:val="22"/>
        </w:rPr>
      </w:pPr>
      <w:r>
        <w:rPr>
          <w:sz w:val="22"/>
          <w:szCs w:val="22"/>
        </w:rPr>
        <w:t xml:space="preserve">                 (2011)</w:t>
      </w:r>
      <w:r>
        <w:rPr>
          <w:rFonts w:ascii="Times New Roman" w:eastAsia="Times New Roman" w:hAnsi="Times New Roman" w:cs="Times New Roman"/>
          <w:sz w:val="22"/>
          <w:szCs w:val="22"/>
          <w:vertAlign w:val="superscript"/>
        </w:rPr>
        <w:footnoteReference w:id="4"/>
      </w:r>
    </w:p>
    <w:p w:rsidR="007841E1" w:rsidRDefault="00C5586E" w:rsidP="00C5586E">
      <w:pPr>
        <w:pStyle w:val="Body"/>
        <w:numPr>
          <w:ilvl w:val="0"/>
          <w:numId w:val="63"/>
        </w:numPr>
        <w:tabs>
          <w:tab w:val="num" w:pos="687"/>
          <w:tab w:val="left" w:pos="720"/>
        </w:tabs>
        <w:ind w:left="687" w:hanging="327"/>
        <w:jc w:val="both"/>
      </w:pPr>
      <w:r>
        <w:rPr>
          <w:sz w:val="22"/>
          <w:szCs w:val="22"/>
          <w:lang w:val="en-US"/>
        </w:rPr>
        <w:t xml:space="preserve">Persistent Poverty in Glasgow: Beyond the Statistics (2011) </w:t>
      </w:r>
    </w:p>
    <w:p w:rsidR="007841E1" w:rsidRDefault="007841E1">
      <w:pPr>
        <w:pStyle w:val="Body"/>
        <w:jc w:val="both"/>
        <w:rPr>
          <w:sz w:val="22"/>
          <w:szCs w:val="22"/>
        </w:rPr>
      </w:pPr>
    </w:p>
    <w:p w:rsidR="007841E1" w:rsidRPr="006D24FE" w:rsidRDefault="00C5586E" w:rsidP="006D24FE">
      <w:pPr>
        <w:pStyle w:val="Body"/>
        <w:jc w:val="both"/>
        <w:rPr>
          <w:sz w:val="22"/>
          <w:szCs w:val="22"/>
        </w:rPr>
      </w:pPr>
      <w:r>
        <w:rPr>
          <w:sz w:val="22"/>
          <w:szCs w:val="22"/>
          <w:lang w:val="en-US"/>
        </w:rPr>
        <w:t xml:space="preserve">Key learning from these reports highlights in particular the potential for dedicated support in the form of </w:t>
      </w:r>
      <w:r>
        <w:rPr>
          <w:rFonts w:hAnsi="Arial"/>
          <w:sz w:val="22"/>
          <w:szCs w:val="22"/>
        </w:rPr>
        <w:t>“</w:t>
      </w:r>
      <w:r>
        <w:rPr>
          <w:sz w:val="22"/>
          <w:szCs w:val="22"/>
          <w:lang w:val="en-US"/>
        </w:rPr>
        <w:t>community organisers</w:t>
      </w:r>
      <w:r>
        <w:rPr>
          <w:rFonts w:hAnsi="Arial"/>
          <w:sz w:val="22"/>
          <w:szCs w:val="22"/>
        </w:rPr>
        <w:t xml:space="preserve">” </w:t>
      </w:r>
      <w:r>
        <w:rPr>
          <w:sz w:val="22"/>
          <w:szCs w:val="22"/>
          <w:lang w:val="en-US"/>
        </w:rPr>
        <w:t>who can support and facilitate local people and groups to take ownership of their future and develop in ways that they have identified as relevant to their local needs, building on existing strengths and skills. Taking a longer term and outcomes-based approach provides time and space for flexibility and innovation according to local needs.</w:t>
      </w:r>
    </w:p>
    <w:p w:rsidR="007841E1" w:rsidRDefault="007841E1">
      <w:pPr>
        <w:pStyle w:val="Body"/>
        <w:jc w:val="both"/>
        <w:rPr>
          <w:sz w:val="22"/>
          <w:szCs w:val="22"/>
        </w:rPr>
      </w:pPr>
    </w:p>
    <w:p w:rsidR="007841E1" w:rsidRDefault="00C5586E" w:rsidP="00C5586E">
      <w:pPr>
        <w:pStyle w:val="Body"/>
        <w:numPr>
          <w:ilvl w:val="0"/>
          <w:numId w:val="64"/>
        </w:numPr>
        <w:tabs>
          <w:tab w:val="num" w:pos="327"/>
          <w:tab w:val="left" w:pos="360"/>
        </w:tabs>
        <w:ind w:left="687" w:hanging="687"/>
        <w:jc w:val="both"/>
        <w:rPr>
          <w:rFonts w:ascii="Arial Bold" w:eastAsia="Arial Bold" w:hAnsi="Arial Bold" w:cs="Arial Bold"/>
          <w:sz w:val="22"/>
          <w:szCs w:val="22"/>
        </w:rPr>
      </w:pPr>
      <w:r>
        <w:rPr>
          <w:rFonts w:ascii="Arial Bold"/>
          <w:sz w:val="22"/>
          <w:szCs w:val="22"/>
          <w:lang w:val="en-US"/>
        </w:rPr>
        <w:t>Local dedicated resource</w:t>
      </w:r>
    </w:p>
    <w:p w:rsidR="007841E1" w:rsidRDefault="007841E1">
      <w:pPr>
        <w:pStyle w:val="Body"/>
        <w:ind w:left="360"/>
        <w:jc w:val="both"/>
        <w:rPr>
          <w:rFonts w:ascii="Arial Bold" w:eastAsia="Arial Bold" w:hAnsi="Arial Bold" w:cs="Arial Bold"/>
          <w:sz w:val="22"/>
          <w:szCs w:val="22"/>
        </w:rPr>
      </w:pPr>
    </w:p>
    <w:p w:rsidR="007841E1" w:rsidRDefault="00C5586E">
      <w:pPr>
        <w:pStyle w:val="Body"/>
        <w:jc w:val="both"/>
        <w:rPr>
          <w:sz w:val="22"/>
          <w:szCs w:val="22"/>
        </w:rPr>
      </w:pPr>
      <w:r>
        <w:rPr>
          <w:sz w:val="22"/>
          <w:szCs w:val="22"/>
          <w:lang w:val="en-US"/>
        </w:rPr>
        <w:t>In order to address this, it is proposed that provision be made to support the three identified communities in each sector through a dedicated resource which might enable work to begin with these local communities.</w:t>
      </w:r>
    </w:p>
    <w:p w:rsidR="007841E1" w:rsidRDefault="007841E1">
      <w:pPr>
        <w:pStyle w:val="Body"/>
        <w:jc w:val="both"/>
        <w:outlineLvl w:val="0"/>
        <w:rPr>
          <w:i/>
          <w:iCs/>
          <w:sz w:val="22"/>
          <w:szCs w:val="22"/>
        </w:rPr>
      </w:pPr>
    </w:p>
    <w:p w:rsidR="007841E1" w:rsidRDefault="00C5586E">
      <w:pPr>
        <w:pStyle w:val="Body"/>
        <w:jc w:val="both"/>
        <w:outlineLvl w:val="0"/>
        <w:rPr>
          <w:i/>
          <w:iCs/>
          <w:sz w:val="22"/>
          <w:szCs w:val="22"/>
        </w:rPr>
      </w:pPr>
      <w:r>
        <w:rPr>
          <w:i/>
          <w:iCs/>
          <w:sz w:val="22"/>
          <w:szCs w:val="22"/>
          <w:lang w:val="en-US"/>
        </w:rPr>
        <w:t>Purpose of the resource</w:t>
      </w:r>
    </w:p>
    <w:p w:rsidR="007841E1" w:rsidRDefault="00C5586E" w:rsidP="00C5586E">
      <w:pPr>
        <w:pStyle w:val="Body"/>
        <w:numPr>
          <w:ilvl w:val="0"/>
          <w:numId w:val="65"/>
        </w:numPr>
        <w:tabs>
          <w:tab w:val="num" w:pos="687"/>
          <w:tab w:val="left" w:pos="720"/>
        </w:tabs>
        <w:ind w:left="687" w:hanging="327"/>
        <w:jc w:val="both"/>
      </w:pPr>
      <w:r>
        <w:rPr>
          <w:sz w:val="22"/>
          <w:szCs w:val="22"/>
          <w:lang w:val="en-US"/>
        </w:rPr>
        <w:t>There is a perceived requirement for a dedicated resource (i.e. people hours) within each sector. This would initially focus on one neighbourhood/ thriving place.</w:t>
      </w:r>
    </w:p>
    <w:p w:rsidR="007841E1" w:rsidRDefault="00C5586E" w:rsidP="00C5586E">
      <w:pPr>
        <w:pStyle w:val="Body"/>
        <w:numPr>
          <w:ilvl w:val="0"/>
          <w:numId w:val="66"/>
        </w:numPr>
        <w:tabs>
          <w:tab w:val="num" w:pos="687"/>
          <w:tab w:val="left" w:pos="720"/>
        </w:tabs>
        <w:ind w:left="687" w:hanging="327"/>
        <w:jc w:val="both"/>
      </w:pPr>
      <w:r>
        <w:rPr>
          <w:sz w:val="22"/>
          <w:szCs w:val="22"/>
          <w:lang w:val="en-US"/>
        </w:rPr>
        <w:t>The main focus of budget would be to put in place an additional resource in the sector which would support the development of local skills and knowledge and foster strong resident and agency working to allow the community to shape its own future and become part of the solution to the issues faced.</w:t>
      </w:r>
    </w:p>
    <w:p w:rsidR="007841E1" w:rsidRDefault="00C5586E" w:rsidP="00C5586E">
      <w:pPr>
        <w:pStyle w:val="Body"/>
        <w:numPr>
          <w:ilvl w:val="0"/>
          <w:numId w:val="67"/>
        </w:numPr>
        <w:tabs>
          <w:tab w:val="num" w:pos="687"/>
          <w:tab w:val="left" w:pos="720"/>
        </w:tabs>
        <w:ind w:left="687" w:hanging="327"/>
        <w:jc w:val="both"/>
      </w:pPr>
      <w:r>
        <w:rPr>
          <w:sz w:val="22"/>
          <w:szCs w:val="22"/>
          <w:lang w:val="en-US"/>
        </w:rPr>
        <w:t>There should be a degree of flexibility as to how this resource is utilised, but within specific parameters agreed by the GCPP Executive Group.</w:t>
      </w:r>
    </w:p>
    <w:p w:rsidR="007841E1" w:rsidRDefault="00C5586E" w:rsidP="00C5586E">
      <w:pPr>
        <w:pStyle w:val="Body"/>
        <w:numPr>
          <w:ilvl w:val="0"/>
          <w:numId w:val="68"/>
        </w:numPr>
        <w:tabs>
          <w:tab w:val="num" w:pos="687"/>
          <w:tab w:val="left" w:pos="720"/>
        </w:tabs>
        <w:ind w:left="687" w:hanging="327"/>
        <w:jc w:val="both"/>
      </w:pPr>
      <w:r>
        <w:rPr>
          <w:sz w:val="22"/>
          <w:szCs w:val="22"/>
          <w:lang w:val="en-US"/>
        </w:rPr>
        <w:t>The key focus of resource should be on people hours, the configuration of which can be locally determined in response to local need (e.g. part-time, full-time) but aligned to one thriving place.</w:t>
      </w:r>
    </w:p>
    <w:p w:rsidR="007841E1" w:rsidRDefault="00C5586E" w:rsidP="00C5586E">
      <w:pPr>
        <w:pStyle w:val="Body"/>
        <w:numPr>
          <w:ilvl w:val="0"/>
          <w:numId w:val="69"/>
        </w:numPr>
        <w:tabs>
          <w:tab w:val="num" w:pos="687"/>
          <w:tab w:val="left" w:pos="720"/>
        </w:tabs>
        <w:ind w:left="687" w:hanging="327"/>
        <w:jc w:val="both"/>
      </w:pPr>
      <w:r>
        <w:rPr>
          <w:sz w:val="22"/>
          <w:szCs w:val="22"/>
          <w:lang w:val="en-US"/>
        </w:rPr>
        <w:t xml:space="preserve">This resource is not about servicing partner capacity to respond locally. Each CPP partner is responsible for their own engagement and co-production processes. The added value of this function of </w:t>
      </w:r>
      <w:r>
        <w:rPr>
          <w:rFonts w:hAnsi="Arial"/>
          <w:sz w:val="22"/>
          <w:szCs w:val="22"/>
        </w:rPr>
        <w:t>“</w:t>
      </w:r>
      <w:r>
        <w:rPr>
          <w:sz w:val="22"/>
          <w:szCs w:val="22"/>
          <w:lang w:val="en-US"/>
        </w:rPr>
        <w:t>community organiser</w:t>
      </w:r>
      <w:r>
        <w:rPr>
          <w:rFonts w:hAnsi="Arial"/>
          <w:sz w:val="22"/>
          <w:szCs w:val="22"/>
        </w:rPr>
        <w:t xml:space="preserve">” </w:t>
      </w:r>
      <w:r>
        <w:rPr>
          <w:sz w:val="22"/>
          <w:szCs w:val="22"/>
          <w:lang w:val="en-US"/>
        </w:rPr>
        <w:t xml:space="preserve">is about supporting residents to act as local agents for change which may include engaging with partners. </w:t>
      </w:r>
    </w:p>
    <w:p w:rsidR="007841E1" w:rsidRDefault="007841E1">
      <w:pPr>
        <w:pStyle w:val="Body"/>
        <w:jc w:val="both"/>
        <w:rPr>
          <w:sz w:val="22"/>
          <w:szCs w:val="22"/>
        </w:rPr>
      </w:pPr>
    </w:p>
    <w:p w:rsidR="007841E1" w:rsidRDefault="00C5586E">
      <w:pPr>
        <w:pStyle w:val="Body"/>
        <w:jc w:val="both"/>
        <w:outlineLvl w:val="0"/>
        <w:rPr>
          <w:i/>
          <w:iCs/>
          <w:sz w:val="22"/>
          <w:szCs w:val="22"/>
        </w:rPr>
      </w:pPr>
      <w:r>
        <w:rPr>
          <w:i/>
          <w:iCs/>
          <w:sz w:val="22"/>
          <w:szCs w:val="22"/>
          <w:lang w:val="pt-PT"/>
        </w:rPr>
        <w:t>Governance</w:t>
      </w:r>
    </w:p>
    <w:p w:rsidR="007841E1" w:rsidRDefault="00C5586E" w:rsidP="00C5586E">
      <w:pPr>
        <w:pStyle w:val="Body"/>
        <w:numPr>
          <w:ilvl w:val="0"/>
          <w:numId w:val="70"/>
        </w:numPr>
        <w:tabs>
          <w:tab w:val="num" w:pos="687"/>
          <w:tab w:val="left" w:pos="720"/>
        </w:tabs>
        <w:ind w:left="687" w:hanging="327"/>
        <w:jc w:val="both"/>
      </w:pPr>
      <w:r>
        <w:rPr>
          <w:sz w:val="22"/>
          <w:szCs w:val="22"/>
          <w:lang w:val="en-US"/>
        </w:rPr>
        <w:t xml:space="preserve">The budget made available to the local host organisation (see below)should be used principally for the employment of staff </w:t>
      </w:r>
    </w:p>
    <w:p w:rsidR="007841E1" w:rsidRDefault="00C5586E" w:rsidP="00C5586E">
      <w:pPr>
        <w:pStyle w:val="Body"/>
        <w:numPr>
          <w:ilvl w:val="0"/>
          <w:numId w:val="71"/>
        </w:numPr>
        <w:tabs>
          <w:tab w:val="num" w:pos="687"/>
          <w:tab w:val="left" w:pos="720"/>
        </w:tabs>
        <w:ind w:left="687" w:hanging="327"/>
        <w:jc w:val="both"/>
      </w:pPr>
      <w:r>
        <w:rPr>
          <w:sz w:val="22"/>
          <w:szCs w:val="22"/>
          <w:lang w:val="en-US"/>
        </w:rPr>
        <w:t xml:space="preserve">Staff employed should be hosted within a local organisation, e.g. an anchor organisation </w:t>
      </w:r>
      <w:r>
        <w:rPr>
          <w:rFonts w:hAnsi="Arial"/>
          <w:sz w:val="22"/>
          <w:szCs w:val="22"/>
        </w:rPr>
        <w:t xml:space="preserve">– </w:t>
      </w:r>
      <w:r>
        <w:rPr>
          <w:sz w:val="22"/>
          <w:szCs w:val="22"/>
          <w:lang w:val="en-US"/>
        </w:rPr>
        <w:t xml:space="preserve">such as a housing association or other third sector organisation or CPP Partner, as appropriate. In order to create continuity, such organisations should have a level of stability and financial security. </w:t>
      </w:r>
    </w:p>
    <w:p w:rsidR="007841E1" w:rsidRDefault="00C5586E" w:rsidP="00C5586E">
      <w:pPr>
        <w:pStyle w:val="Body"/>
        <w:numPr>
          <w:ilvl w:val="0"/>
          <w:numId w:val="72"/>
        </w:numPr>
        <w:tabs>
          <w:tab w:val="num" w:pos="687"/>
          <w:tab w:val="left" w:pos="720"/>
        </w:tabs>
        <w:ind w:left="687" w:hanging="327"/>
        <w:jc w:val="both"/>
      </w:pPr>
      <w:r>
        <w:rPr>
          <w:sz w:val="22"/>
          <w:szCs w:val="22"/>
          <w:lang w:val="en-US"/>
        </w:rPr>
        <w:lastRenderedPageBreak/>
        <w:t xml:space="preserve">The Senior Officers Group should agree a local process in terms of identifying appropriate local host organisation. Ideally, the appropriate local thriving place structure should determine where this resource is hosted, building on a creditable anchor organisation with a history of community involvement and influence as well as of working locally. </w:t>
      </w:r>
    </w:p>
    <w:p w:rsidR="007841E1" w:rsidRDefault="00C5586E" w:rsidP="00C5586E">
      <w:pPr>
        <w:pStyle w:val="Body"/>
        <w:numPr>
          <w:ilvl w:val="0"/>
          <w:numId w:val="73"/>
        </w:numPr>
        <w:tabs>
          <w:tab w:val="num" w:pos="687"/>
          <w:tab w:val="left" w:pos="720"/>
        </w:tabs>
        <w:ind w:left="687" w:hanging="327"/>
        <w:jc w:val="both"/>
      </w:pPr>
      <w:r>
        <w:rPr>
          <w:sz w:val="22"/>
          <w:szCs w:val="22"/>
          <w:lang w:val="en-US"/>
        </w:rPr>
        <w:t>A Work Plan should be developed and form part of a service level agreement between the host organisation and Glasgow City Council Corporate Services, on behalf of Glasgow CPP</w:t>
      </w:r>
    </w:p>
    <w:p w:rsidR="007841E1" w:rsidRDefault="00C5586E" w:rsidP="00C5586E">
      <w:pPr>
        <w:pStyle w:val="Body"/>
        <w:numPr>
          <w:ilvl w:val="0"/>
          <w:numId w:val="74"/>
        </w:numPr>
        <w:tabs>
          <w:tab w:val="num" w:pos="687"/>
          <w:tab w:val="left" w:pos="720"/>
        </w:tabs>
        <w:ind w:left="687" w:hanging="327"/>
        <w:jc w:val="both"/>
      </w:pPr>
      <w:r>
        <w:rPr>
          <w:sz w:val="22"/>
          <w:szCs w:val="22"/>
          <w:lang w:val="en-US"/>
        </w:rPr>
        <w:t>The service level agreement will set out the details of the relationship with the local CPP support staff and will set out clear lines of communication and definitions of roles and responsibilities</w:t>
      </w:r>
    </w:p>
    <w:p w:rsidR="007841E1" w:rsidRDefault="00C5586E" w:rsidP="00C5586E">
      <w:pPr>
        <w:pStyle w:val="Body"/>
        <w:numPr>
          <w:ilvl w:val="0"/>
          <w:numId w:val="75"/>
        </w:numPr>
        <w:tabs>
          <w:tab w:val="num" w:pos="687"/>
          <w:tab w:val="left" w:pos="720"/>
        </w:tabs>
        <w:ind w:left="687" w:hanging="327"/>
        <w:jc w:val="both"/>
      </w:pPr>
      <w:r>
        <w:rPr>
          <w:sz w:val="22"/>
          <w:szCs w:val="22"/>
          <w:lang w:val="en-US"/>
        </w:rPr>
        <w:t>Regular quarterly reports should be presented to the Senior Officers Group and to the appropriate Sector Partnership and adjustments made to the work plan as appropriate</w:t>
      </w:r>
    </w:p>
    <w:p w:rsidR="007841E1" w:rsidRDefault="00C5586E" w:rsidP="00C5586E">
      <w:pPr>
        <w:pStyle w:val="Body"/>
        <w:numPr>
          <w:ilvl w:val="0"/>
          <w:numId w:val="76"/>
        </w:numPr>
        <w:tabs>
          <w:tab w:val="num" w:pos="687"/>
          <w:tab w:val="left" w:pos="720"/>
        </w:tabs>
        <w:ind w:left="687" w:hanging="327"/>
        <w:jc w:val="both"/>
      </w:pPr>
      <w:r>
        <w:rPr>
          <w:sz w:val="22"/>
          <w:szCs w:val="22"/>
          <w:lang w:val="en-US"/>
        </w:rPr>
        <w:t>It would be helpful to draw on the experience of the Third Sector Forum in engaging local people to develop the service specification and be part of any local assessment process.</w:t>
      </w:r>
    </w:p>
    <w:p w:rsidR="007841E1" w:rsidRDefault="00C5586E" w:rsidP="00C5586E">
      <w:pPr>
        <w:pStyle w:val="Body"/>
        <w:numPr>
          <w:ilvl w:val="0"/>
          <w:numId w:val="77"/>
        </w:numPr>
        <w:tabs>
          <w:tab w:val="num" w:pos="687"/>
          <w:tab w:val="left" w:pos="720"/>
        </w:tabs>
        <w:ind w:left="687" w:hanging="327"/>
        <w:jc w:val="both"/>
      </w:pPr>
      <w:r>
        <w:rPr>
          <w:sz w:val="22"/>
          <w:szCs w:val="22"/>
          <w:lang w:val="en-US"/>
        </w:rPr>
        <w:t>The local employing organisation will have responsibility for employment and management of appointed staff and ensuring the development and delivery of work plan and objectives, following approval by the Senior Officers Group.</w:t>
      </w:r>
    </w:p>
    <w:p w:rsidR="007841E1" w:rsidRDefault="007841E1">
      <w:pPr>
        <w:pStyle w:val="Body"/>
        <w:jc w:val="both"/>
        <w:rPr>
          <w:sz w:val="22"/>
          <w:szCs w:val="22"/>
        </w:rPr>
      </w:pPr>
    </w:p>
    <w:p w:rsidR="007841E1" w:rsidRDefault="00C5586E">
      <w:pPr>
        <w:pStyle w:val="Body"/>
        <w:jc w:val="both"/>
        <w:rPr>
          <w:i/>
          <w:iCs/>
          <w:sz w:val="22"/>
          <w:szCs w:val="22"/>
        </w:rPr>
      </w:pPr>
      <w:r>
        <w:rPr>
          <w:i/>
          <w:iCs/>
          <w:sz w:val="22"/>
          <w:szCs w:val="22"/>
          <w:lang w:val="en-US"/>
        </w:rPr>
        <w:t>Key outcomes for post(s):</w:t>
      </w:r>
    </w:p>
    <w:p w:rsidR="007841E1" w:rsidRDefault="00C5586E" w:rsidP="00C5586E">
      <w:pPr>
        <w:pStyle w:val="Body"/>
        <w:numPr>
          <w:ilvl w:val="0"/>
          <w:numId w:val="78"/>
        </w:numPr>
        <w:tabs>
          <w:tab w:val="num" w:pos="687"/>
          <w:tab w:val="left" w:pos="720"/>
        </w:tabs>
        <w:ind w:left="687" w:hanging="327"/>
        <w:jc w:val="both"/>
      </w:pPr>
      <w:r>
        <w:rPr>
          <w:sz w:val="22"/>
          <w:szCs w:val="22"/>
          <w:lang w:val="en-US"/>
        </w:rPr>
        <w:t>Core outcome will be increased participation of local people within the neighbourhoods where the resource is located. Having this resource is a key way of ensuring that work is focused at a neighbourhood level</w:t>
      </w:r>
    </w:p>
    <w:p w:rsidR="007841E1" w:rsidRDefault="00C5586E" w:rsidP="00C5586E">
      <w:pPr>
        <w:pStyle w:val="Body"/>
        <w:numPr>
          <w:ilvl w:val="0"/>
          <w:numId w:val="79"/>
        </w:numPr>
        <w:tabs>
          <w:tab w:val="num" w:pos="687"/>
          <w:tab w:val="left" w:pos="720"/>
        </w:tabs>
        <w:ind w:left="687" w:hanging="327"/>
        <w:jc w:val="both"/>
      </w:pPr>
      <w:r>
        <w:rPr>
          <w:sz w:val="22"/>
          <w:szCs w:val="22"/>
          <w:lang w:val="pt-PT"/>
        </w:rPr>
        <w:t xml:space="preserve">Role as </w:t>
      </w:r>
      <w:r>
        <w:rPr>
          <w:rFonts w:hAnsi="Arial"/>
          <w:sz w:val="22"/>
          <w:szCs w:val="22"/>
        </w:rPr>
        <w:t>“</w:t>
      </w:r>
      <w:r>
        <w:rPr>
          <w:sz w:val="22"/>
          <w:szCs w:val="22"/>
          <w:lang w:val="en-US"/>
        </w:rPr>
        <w:t xml:space="preserve">community organiser: </w:t>
      </w:r>
      <w:r>
        <w:rPr>
          <w:rFonts w:hAnsi="Arial"/>
          <w:sz w:val="22"/>
          <w:szCs w:val="22"/>
        </w:rPr>
        <w:t>“</w:t>
      </w:r>
      <w:r>
        <w:rPr>
          <w:sz w:val="22"/>
          <w:szCs w:val="22"/>
          <w:lang w:val="en-US"/>
        </w:rPr>
        <w:t xml:space="preserve">bringing people </w:t>
      </w:r>
      <w:r>
        <w:rPr>
          <w:rFonts w:hAnsi="Arial"/>
          <w:sz w:val="22"/>
          <w:szCs w:val="22"/>
        </w:rPr>
        <w:t>“</w:t>
      </w:r>
      <w:r>
        <w:rPr>
          <w:sz w:val="22"/>
          <w:szCs w:val="22"/>
        </w:rPr>
        <w:t>in</w:t>
      </w:r>
      <w:r>
        <w:rPr>
          <w:rFonts w:hAnsi="Arial"/>
          <w:sz w:val="22"/>
          <w:szCs w:val="22"/>
        </w:rPr>
        <w:t xml:space="preserve">” </w:t>
      </w:r>
      <w:r>
        <w:rPr>
          <w:sz w:val="22"/>
          <w:szCs w:val="22"/>
          <w:lang w:val="en-US"/>
        </w:rPr>
        <w:t>and seeking  to involve a broad base of local residents and groups through use of appropriate community engagement techniques; identifying priority issues and agendas to be shared with local agencies so that there is  a better and shared understanding of the needs, priorities and issues of local people;; building capacity of local people to participate, develop and thrive; working with partners and wider stakeholders to an agreed work plan</w:t>
      </w:r>
    </w:p>
    <w:p w:rsidR="007841E1" w:rsidRDefault="00C5586E" w:rsidP="00C5586E">
      <w:pPr>
        <w:pStyle w:val="Body"/>
        <w:numPr>
          <w:ilvl w:val="0"/>
          <w:numId w:val="80"/>
        </w:numPr>
        <w:tabs>
          <w:tab w:val="num" w:pos="687"/>
          <w:tab w:val="left" w:pos="720"/>
        </w:tabs>
        <w:ind w:left="687" w:hanging="327"/>
        <w:jc w:val="both"/>
      </w:pPr>
      <w:r>
        <w:rPr>
          <w:sz w:val="22"/>
          <w:szCs w:val="22"/>
          <w:lang w:val="en-US"/>
        </w:rPr>
        <w:t>Making connections and facilitating and supporting individuals, groups and partnerships</w:t>
      </w:r>
    </w:p>
    <w:p w:rsidR="007841E1" w:rsidRDefault="00C5586E" w:rsidP="00C5586E">
      <w:pPr>
        <w:pStyle w:val="Body"/>
        <w:numPr>
          <w:ilvl w:val="0"/>
          <w:numId w:val="81"/>
        </w:numPr>
        <w:tabs>
          <w:tab w:val="num" w:pos="687"/>
          <w:tab w:val="left" w:pos="720"/>
        </w:tabs>
        <w:ind w:left="687" w:hanging="327"/>
        <w:jc w:val="both"/>
      </w:pPr>
      <w:r>
        <w:rPr>
          <w:sz w:val="22"/>
          <w:szCs w:val="22"/>
          <w:lang w:val="en-US"/>
        </w:rPr>
        <w:t xml:space="preserve">Assisting the CPP in monitoring and evaluating </w:t>
      </w:r>
      <w:r>
        <w:rPr>
          <w:rFonts w:hAnsi="Arial"/>
          <w:sz w:val="22"/>
          <w:szCs w:val="22"/>
        </w:rPr>
        <w:t>–</w:t>
      </w:r>
      <w:r>
        <w:rPr>
          <w:sz w:val="22"/>
          <w:szCs w:val="22"/>
          <w:lang w:val="en-US"/>
        </w:rPr>
        <w:t xml:space="preserve">working together to determine what success would look like; putting plans in place along with others to work towards this; and developing systems to measure and capture progress. This will include community involvement as well as peer review which should take place within and between the various thriving neighbourhoods across the city. </w:t>
      </w:r>
    </w:p>
    <w:p w:rsidR="007841E1" w:rsidRDefault="00C5586E" w:rsidP="00C5586E">
      <w:pPr>
        <w:pStyle w:val="Body"/>
        <w:numPr>
          <w:ilvl w:val="0"/>
          <w:numId w:val="82"/>
        </w:numPr>
        <w:tabs>
          <w:tab w:val="num" w:pos="687"/>
          <w:tab w:val="left" w:pos="720"/>
        </w:tabs>
        <w:ind w:left="687" w:hanging="327"/>
        <w:jc w:val="both"/>
      </w:pPr>
      <w:r>
        <w:rPr>
          <w:sz w:val="22"/>
          <w:szCs w:val="22"/>
          <w:lang w:val="en-US"/>
        </w:rPr>
        <w:t>Interface with partners to support processes</w:t>
      </w:r>
    </w:p>
    <w:p w:rsidR="007841E1" w:rsidRDefault="00C5586E" w:rsidP="00C5586E">
      <w:pPr>
        <w:pStyle w:val="Body"/>
        <w:numPr>
          <w:ilvl w:val="0"/>
          <w:numId w:val="83"/>
        </w:numPr>
        <w:tabs>
          <w:tab w:val="num" w:pos="687"/>
          <w:tab w:val="left" w:pos="720"/>
        </w:tabs>
        <w:ind w:left="687" w:hanging="327"/>
        <w:jc w:val="both"/>
      </w:pPr>
      <w:r>
        <w:rPr>
          <w:sz w:val="22"/>
          <w:szCs w:val="22"/>
          <w:lang w:val="en-US"/>
        </w:rPr>
        <w:t>Development of an exit strategy at an appropriate point</w:t>
      </w:r>
    </w:p>
    <w:p w:rsidR="007841E1" w:rsidRDefault="00C5586E" w:rsidP="00C5586E">
      <w:pPr>
        <w:pStyle w:val="Body"/>
        <w:numPr>
          <w:ilvl w:val="0"/>
          <w:numId w:val="84"/>
        </w:numPr>
        <w:tabs>
          <w:tab w:val="num" w:pos="687"/>
          <w:tab w:val="left" w:pos="720"/>
        </w:tabs>
        <w:ind w:left="687" w:hanging="327"/>
        <w:jc w:val="both"/>
      </w:pPr>
      <w:r>
        <w:rPr>
          <w:sz w:val="22"/>
          <w:szCs w:val="22"/>
          <w:lang w:val="en-US"/>
        </w:rPr>
        <w:t>Development of a process for identifying and sharing lessons learned from the initial pilot to inform approaches in the other identified neighbourhoods and to inform an approach to community empowerment in line with the emerging Community Empowerment Bill.</w:t>
      </w:r>
    </w:p>
    <w:p w:rsidR="007841E1" w:rsidRDefault="007841E1">
      <w:pPr>
        <w:pStyle w:val="Body"/>
        <w:jc w:val="both"/>
        <w:rPr>
          <w:sz w:val="22"/>
          <w:szCs w:val="22"/>
        </w:rPr>
      </w:pPr>
    </w:p>
    <w:p w:rsidR="007841E1" w:rsidRDefault="00C5586E">
      <w:pPr>
        <w:pStyle w:val="Body"/>
        <w:jc w:val="both"/>
        <w:rPr>
          <w:sz w:val="22"/>
          <w:szCs w:val="22"/>
        </w:rPr>
      </w:pPr>
      <w:r>
        <w:rPr>
          <w:sz w:val="22"/>
          <w:szCs w:val="22"/>
          <w:lang w:val="en-US"/>
        </w:rPr>
        <w:t>A small amount of the resource might be used to support training/ development/capacity building. This should clearly fit with the local work being carried out in terms of the Community Learning and Development Plan.</w:t>
      </w:r>
    </w:p>
    <w:p w:rsidR="006D24FE" w:rsidRDefault="006D24FE">
      <w:pPr>
        <w:pStyle w:val="Body"/>
        <w:tabs>
          <w:tab w:val="left" w:pos="1620"/>
        </w:tabs>
        <w:jc w:val="both"/>
        <w:rPr>
          <w:rFonts w:ascii="Arial Bold"/>
          <w:sz w:val="22"/>
          <w:szCs w:val="22"/>
        </w:rPr>
      </w:pPr>
    </w:p>
    <w:p w:rsidR="007841E1" w:rsidRDefault="00C5586E">
      <w:pPr>
        <w:pStyle w:val="Body"/>
        <w:tabs>
          <w:tab w:val="left" w:pos="1620"/>
        </w:tabs>
        <w:jc w:val="both"/>
        <w:rPr>
          <w:rFonts w:ascii="Arial Bold" w:eastAsia="Arial Bold" w:hAnsi="Arial Bold" w:cs="Arial Bold"/>
          <w:sz w:val="22"/>
          <w:szCs w:val="22"/>
        </w:rPr>
      </w:pPr>
      <w:r>
        <w:rPr>
          <w:rFonts w:ascii="Arial Bold"/>
          <w:sz w:val="22"/>
          <w:szCs w:val="22"/>
        </w:rPr>
        <w:t>5.</w:t>
      </w:r>
      <w:r>
        <w:rPr>
          <w:sz w:val="22"/>
          <w:szCs w:val="22"/>
        </w:rPr>
        <w:t xml:space="preserve">   </w:t>
      </w:r>
      <w:r>
        <w:rPr>
          <w:rFonts w:ascii="Arial Bold"/>
          <w:sz w:val="22"/>
          <w:szCs w:val="22"/>
          <w:lang w:val="en-US"/>
        </w:rPr>
        <w:t xml:space="preserve">Funding resource </w:t>
      </w:r>
    </w:p>
    <w:p w:rsidR="007841E1" w:rsidRDefault="007841E1">
      <w:pPr>
        <w:pStyle w:val="Body"/>
        <w:tabs>
          <w:tab w:val="left" w:pos="1620"/>
        </w:tabs>
        <w:jc w:val="both"/>
        <w:rPr>
          <w:sz w:val="22"/>
          <w:szCs w:val="22"/>
        </w:rPr>
      </w:pPr>
    </w:p>
    <w:p w:rsidR="007841E1" w:rsidRDefault="00C5586E">
      <w:pPr>
        <w:pStyle w:val="Body"/>
        <w:tabs>
          <w:tab w:val="left" w:pos="1620"/>
        </w:tabs>
        <w:jc w:val="both"/>
        <w:rPr>
          <w:sz w:val="22"/>
          <w:szCs w:val="22"/>
        </w:rPr>
      </w:pPr>
      <w:r>
        <w:rPr>
          <w:sz w:val="22"/>
          <w:szCs w:val="22"/>
          <w:lang w:val="en-US"/>
        </w:rPr>
        <w:t>In order to progress this proposed programme of work, the Executive Group is requested to make available the following funding:</w:t>
      </w:r>
    </w:p>
    <w:p w:rsidR="007841E1" w:rsidRDefault="007841E1">
      <w:pPr>
        <w:pStyle w:val="Body"/>
        <w:tabs>
          <w:tab w:val="left" w:pos="1620"/>
        </w:tabs>
        <w:jc w:val="both"/>
        <w:rPr>
          <w:sz w:val="22"/>
          <w:szCs w:val="22"/>
        </w:rPr>
      </w:pPr>
    </w:p>
    <w:p w:rsidR="007841E1" w:rsidRDefault="00C5586E" w:rsidP="00C5586E">
      <w:pPr>
        <w:pStyle w:val="Body"/>
        <w:numPr>
          <w:ilvl w:val="0"/>
          <w:numId w:val="85"/>
        </w:numPr>
        <w:tabs>
          <w:tab w:val="num" w:pos="687"/>
          <w:tab w:val="left" w:pos="720"/>
        </w:tabs>
        <w:ind w:left="687" w:hanging="327"/>
        <w:jc w:val="both"/>
      </w:pPr>
      <w:r>
        <w:rPr>
          <w:rFonts w:hAnsi="Arial"/>
          <w:sz w:val="22"/>
          <w:szCs w:val="22"/>
        </w:rPr>
        <w:t>£</w:t>
      </w:r>
      <w:r>
        <w:rPr>
          <w:sz w:val="22"/>
          <w:szCs w:val="22"/>
        </w:rPr>
        <w:t>105k</w:t>
      </w:r>
      <w:r>
        <w:rPr>
          <w:rFonts w:ascii="Arial Bold"/>
          <w:sz w:val="22"/>
          <w:szCs w:val="22"/>
        </w:rPr>
        <w:t xml:space="preserve"> </w:t>
      </w:r>
      <w:r>
        <w:rPr>
          <w:sz w:val="22"/>
          <w:szCs w:val="22"/>
          <w:lang w:val="en-US"/>
        </w:rPr>
        <w:t xml:space="preserve">for 2014/15, with pro rata provision of </w:t>
      </w:r>
      <w:r>
        <w:rPr>
          <w:rFonts w:hAnsi="Arial"/>
          <w:sz w:val="22"/>
          <w:szCs w:val="22"/>
        </w:rPr>
        <w:t>£</w:t>
      </w:r>
      <w:r>
        <w:rPr>
          <w:sz w:val="22"/>
          <w:szCs w:val="22"/>
          <w:lang w:val="en-US"/>
        </w:rPr>
        <w:t>30k for the remaining months in 2013/14</w:t>
      </w:r>
    </w:p>
    <w:p w:rsidR="007841E1" w:rsidRDefault="00C5586E" w:rsidP="00C5586E">
      <w:pPr>
        <w:pStyle w:val="Body"/>
        <w:numPr>
          <w:ilvl w:val="0"/>
          <w:numId w:val="86"/>
        </w:numPr>
        <w:tabs>
          <w:tab w:val="num" w:pos="687"/>
          <w:tab w:val="left" w:pos="720"/>
        </w:tabs>
        <w:ind w:left="687" w:hanging="327"/>
        <w:jc w:val="both"/>
      </w:pPr>
      <w:r>
        <w:rPr>
          <w:sz w:val="22"/>
          <w:szCs w:val="22"/>
          <w:lang w:val="en-US"/>
        </w:rPr>
        <w:t xml:space="preserve">The Executive Group is requested to agree in principle to longer term funding to be reviewed in light of progress reports for the initial pilots. </w:t>
      </w:r>
    </w:p>
    <w:p w:rsidR="007841E1" w:rsidRDefault="007841E1">
      <w:pPr>
        <w:pStyle w:val="Body"/>
        <w:tabs>
          <w:tab w:val="left" w:pos="1620"/>
        </w:tabs>
        <w:jc w:val="both"/>
        <w:rPr>
          <w:sz w:val="22"/>
          <w:szCs w:val="22"/>
        </w:rPr>
      </w:pPr>
    </w:p>
    <w:p w:rsidR="007841E1" w:rsidRDefault="00C5586E">
      <w:pPr>
        <w:pStyle w:val="Body"/>
        <w:tabs>
          <w:tab w:val="left" w:pos="1620"/>
        </w:tabs>
        <w:jc w:val="both"/>
        <w:rPr>
          <w:sz w:val="22"/>
          <w:szCs w:val="22"/>
        </w:rPr>
      </w:pPr>
      <w:r>
        <w:rPr>
          <w:sz w:val="22"/>
          <w:szCs w:val="22"/>
          <w:lang w:val="en-US"/>
        </w:rPr>
        <w:t>There may be potential that local areas will be able to utilise this resource to lever in additional resources from other funding sources. Any such additional resources should be included in a revised work plan and service level agreement.</w:t>
      </w:r>
    </w:p>
    <w:p w:rsidR="007841E1" w:rsidRDefault="007841E1">
      <w:pPr>
        <w:pStyle w:val="Body"/>
        <w:tabs>
          <w:tab w:val="left" w:pos="1620"/>
        </w:tabs>
        <w:jc w:val="both"/>
        <w:rPr>
          <w:sz w:val="22"/>
          <w:szCs w:val="22"/>
        </w:rPr>
      </w:pPr>
    </w:p>
    <w:p w:rsidR="007841E1" w:rsidRDefault="004D4A26" w:rsidP="004D4A26">
      <w:pPr>
        <w:pStyle w:val="Body"/>
        <w:tabs>
          <w:tab w:val="left" w:pos="1620"/>
        </w:tabs>
        <w:jc w:val="both"/>
      </w:pPr>
      <w:r>
        <w:rPr>
          <w:noProof/>
          <w:sz w:val="22"/>
          <w:szCs w:val="22"/>
        </w:rPr>
        <w:drawing>
          <wp:anchor distT="0" distB="0" distL="114300" distR="114300" simplePos="0" relativeHeight="251659264" behindDoc="1" locked="0" layoutInCell="1" allowOverlap="1" wp14:anchorId="4F4FBF15" wp14:editId="41626EAE">
            <wp:simplePos x="0" y="0"/>
            <wp:positionH relativeFrom="column">
              <wp:posOffset>-285750</wp:posOffset>
            </wp:positionH>
            <wp:positionV relativeFrom="paragraph">
              <wp:posOffset>473710</wp:posOffset>
            </wp:positionV>
            <wp:extent cx="6505575" cy="4010025"/>
            <wp:effectExtent l="0" t="0" r="9525" b="9525"/>
            <wp:wrapTight wrapText="bothSides">
              <wp:wrapPolygon edited="0">
                <wp:start x="0" y="0"/>
                <wp:lineTo x="0" y="21549"/>
                <wp:lineTo x="21568" y="21549"/>
                <wp:lineTo x="21568" y="0"/>
                <wp:lineTo x="0" y="0"/>
              </wp:wrapPolygon>
            </wp:wrapTight>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2.png"/>
                    <pic:cNvPicPr/>
                  </pic:nvPicPr>
                  <pic:blipFill>
                    <a:blip r:embed="rId15">
                      <a:extLst>
                        <a:ext uri="{28A0092B-C50C-407E-A947-70E740481C1C}">
                          <a14:useLocalDpi xmlns:a14="http://schemas.microsoft.com/office/drawing/2010/main" val="0"/>
                        </a:ext>
                      </a:extLst>
                    </a:blip>
                    <a:stretch>
                      <a:fillRect/>
                    </a:stretch>
                  </pic:blipFill>
                  <pic:spPr>
                    <a:xfrm>
                      <a:off x="0" y="0"/>
                      <a:ext cx="6505575" cy="401002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C5586E">
        <w:rPr>
          <w:sz w:val="22"/>
          <w:szCs w:val="22"/>
          <w:lang w:val="en-US"/>
        </w:rPr>
        <w:t xml:space="preserve"> http://www.scotland.gov.uk/Topics/Health/health/healthyweight/hea</w:t>
      </w:r>
      <w:r>
        <w:rPr>
          <w:sz w:val="22"/>
          <w:szCs w:val="22"/>
          <w:lang w:val="en-US"/>
        </w:rPr>
        <w:t>lthyweight/finalpriesthill</w:t>
      </w:r>
    </w:p>
    <w:sectPr w:rsidR="007841E1">
      <w:headerReference w:type="default" r:id="rId16"/>
      <w:footerReference w:type="default" r:id="rId17"/>
      <w:pgSz w:w="12240" w:h="15840"/>
      <w:pgMar w:top="709" w:right="1440" w:bottom="851"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B81" w:rsidRDefault="000F7B81">
      <w:r>
        <w:separator/>
      </w:r>
    </w:p>
  </w:endnote>
  <w:endnote w:type="continuationSeparator" w:id="0">
    <w:p w:rsidR="000F7B81" w:rsidRDefault="000F7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pitch w:val="default"/>
  </w:font>
  <w:font w:name="Trebuchet MS Bold">
    <w:panose1 w:val="020B0703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1E1" w:rsidRDefault="007841E1">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1E1" w:rsidRDefault="007841E1">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1E1" w:rsidRDefault="007841E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B81" w:rsidRDefault="000F7B81">
      <w:r>
        <w:separator/>
      </w:r>
    </w:p>
  </w:footnote>
  <w:footnote w:type="continuationSeparator" w:id="0">
    <w:p w:rsidR="000F7B81" w:rsidRDefault="000F7B81">
      <w:r>
        <w:continuationSeparator/>
      </w:r>
    </w:p>
  </w:footnote>
  <w:footnote w:type="continuationNotice" w:id="1">
    <w:p w:rsidR="000F7B81" w:rsidRDefault="000F7B81"/>
  </w:footnote>
  <w:footnote w:id="2">
    <w:p w:rsidR="007841E1" w:rsidRDefault="00C5586E">
      <w:pPr>
        <w:pStyle w:val="FootnoteText"/>
      </w:pPr>
      <w:r>
        <w:rPr>
          <w:sz w:val="22"/>
          <w:szCs w:val="22"/>
          <w:vertAlign w:val="superscript"/>
        </w:rPr>
        <w:footnoteRef/>
      </w:r>
      <w:r>
        <w:rPr>
          <w:rFonts w:eastAsia="Arial Unicode MS" w:hAnsi="Arial Unicode MS" w:cs="Arial Unicode MS"/>
          <w:i/>
          <w:iCs/>
        </w:rPr>
        <w:t xml:space="preserve"> Persistent Poverty in Glasgow: Beyond the Statistics, Ramsden, 2011</w:t>
      </w:r>
    </w:p>
  </w:footnote>
  <w:footnote w:id="3">
    <w:p w:rsidR="007841E1" w:rsidRDefault="00C5586E">
      <w:pPr>
        <w:pStyle w:val="FootnoteText"/>
      </w:pPr>
      <w:r>
        <w:rPr>
          <w:i/>
          <w:iCs/>
          <w:sz w:val="22"/>
          <w:szCs w:val="22"/>
          <w:vertAlign w:val="superscript"/>
        </w:rPr>
        <w:footnoteRef/>
      </w:r>
      <w:r>
        <w:rPr>
          <w:rFonts w:eastAsia="Arial Unicode MS" w:hAnsi="Arial Unicode MS" w:cs="Arial Unicode MS"/>
        </w:rPr>
        <w:t xml:space="preserve"> C2 Connecting Communities 7 Step Model, Hazel Stutely</w:t>
      </w:r>
    </w:p>
  </w:footnote>
  <w:footnote w:id="4">
    <w:p w:rsidR="007841E1" w:rsidRDefault="00C5586E">
      <w:pPr>
        <w:pStyle w:val="FootnoteText"/>
      </w:pPr>
      <w:r>
        <w:rPr>
          <w:sz w:val="22"/>
          <w:szCs w:val="22"/>
          <w:vertAlign w:val="superscript"/>
        </w:rPr>
        <w:footnoteRef/>
      </w:r>
      <w:r>
        <w:rPr>
          <w:rFonts w:eastAsia="Arial Unicode MS" w:hAnsi="Arial Unicode MS" w:cs="Arial Unicode MS"/>
        </w:rPr>
        <w:t xml:space="preserve">  http://www.scotland.gov.uk/Topics/Health/health/healthyweight/healthyweight/finalpriesthillreport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1E1" w:rsidRDefault="00C5586E">
    <w:pPr>
      <w:pStyle w:val="Body"/>
      <w:widowControl w:val="0"/>
      <w:spacing w:line="200" w:lineRule="exact"/>
    </w:pPr>
    <w:r>
      <w:rPr>
        <w:noProof/>
      </w:rPr>
      <mc:AlternateContent>
        <mc:Choice Requires="wps">
          <w:drawing>
            <wp:anchor distT="152400" distB="152400" distL="152400" distR="152400" simplePos="0" relativeHeight="251656704" behindDoc="1" locked="0" layoutInCell="1" allowOverlap="1">
              <wp:simplePos x="0" y="0"/>
              <wp:positionH relativeFrom="page">
                <wp:posOffset>6658609</wp:posOffset>
              </wp:positionH>
              <wp:positionV relativeFrom="page">
                <wp:posOffset>10072369</wp:posOffset>
              </wp:positionV>
              <wp:extent cx="206375" cy="164465"/>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206375" cy="164465"/>
                      </a:xfrm>
                      <a:prstGeom prst="rect">
                        <a:avLst/>
                      </a:prstGeom>
                      <a:noFill/>
                      <a:ln w="12700" cap="flat">
                        <a:noFill/>
                        <a:miter lim="400000"/>
                      </a:ln>
                      <a:effectLst/>
                    </wps:spPr>
                    <wps:txbx>
                      <w:txbxContent>
                        <w:p w:rsidR="007841E1" w:rsidRDefault="00C5586E">
                          <w:pPr>
                            <w:pStyle w:val="Body"/>
                            <w:widowControl w:val="0"/>
                            <w:spacing w:line="245" w:lineRule="exact"/>
                            <w:ind w:left="40"/>
                          </w:pPr>
                          <w:r>
                            <w:rPr>
                              <w:rFonts w:ascii="Arial Bold"/>
                            </w:rPr>
                            <w:fldChar w:fldCharType="begin"/>
                          </w:r>
                          <w:r>
                            <w:rPr>
                              <w:rFonts w:ascii="Arial Bold"/>
                            </w:rPr>
                            <w:instrText xml:space="preserve"> PAGE </w:instrText>
                          </w:r>
                          <w:r>
                            <w:rPr>
                              <w:rFonts w:ascii="Arial Bold"/>
                            </w:rPr>
                            <w:fldChar w:fldCharType="separate"/>
                          </w:r>
                          <w:r w:rsidR="00477472">
                            <w:rPr>
                              <w:rFonts w:ascii="Arial Bold"/>
                              <w:noProof/>
                            </w:rPr>
                            <w:t>7</w:t>
                          </w:r>
                          <w:r>
                            <w:rPr>
                              <w:rFonts w:ascii="Arial Bold"/>
                            </w:rPr>
                            <w:fldChar w:fldCharType="end"/>
                          </w:r>
                        </w:p>
                      </w:txbxContent>
                    </wps:txbx>
                    <wps:bodyPr wrap="square" lIns="0" tIns="0" rIns="0" bIns="0" numCol="1" anchor="t">
                      <a:noAutofit/>
                    </wps:bodyPr>
                  </wps:wsp>
                </a:graphicData>
              </a:graphic>
            </wp:anchor>
          </w:drawing>
        </mc:Choice>
        <mc:Fallback>
          <w:pict>
            <v:rect id="_x0000_s1047" style="position:absolute;margin-left:524.3pt;margin-top:793.1pt;width:16.25pt;height:12.95pt;z-index:-2516597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" filled="f" stroked="f" strokeweight="1pt">
              <v:stroke miterlimit="4"/>
              <v:textbox inset="0,0,0,0">
                <w:txbxContent>
                  <w:p w:rsidR="007841E1" w:rsidRDefault="00C5586E">
                    <w:pPr>
                      <w:pStyle w:val="Body"/>
                      <w:widowControl w:val="0"/>
                      <w:spacing w:line="245" w:lineRule="exact"/>
                      <w:ind w:left="40"/>
                    </w:pPr>
                    <w:r>
                      <w:rPr>
                        <w:rFonts w:ascii="Arial Bold"/>
                      </w:rPr>
                      <w:fldChar w:fldCharType="begin"/>
                    </w:r>
                    <w:r>
                      <w:rPr>
                        <w:rFonts w:ascii="Arial Bold"/>
                      </w:rPr>
                      <w:instrText xml:space="preserve"> PAGE </w:instrText>
                    </w:r>
                    <w:r>
                      <w:rPr>
                        <w:rFonts w:ascii="Arial Bold"/>
                      </w:rPr>
                      <w:fldChar w:fldCharType="separate"/>
                    </w:r>
                    <w:r w:rsidR="00477472">
                      <w:rPr>
                        <w:rFonts w:ascii="Arial Bold"/>
                        <w:noProof/>
                      </w:rPr>
                      <w:t>7</w:t>
                    </w:r>
                    <w:r>
                      <w:rPr>
                        <w:rFonts w:ascii="Arial Bold"/>
                      </w:rPr>
                      <w:fldChar w:fldCharType="end"/>
                    </w: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1E1" w:rsidRDefault="00C5586E">
    <w:pPr>
      <w:pStyle w:val="Body"/>
      <w:widowControl w:val="0"/>
      <w:spacing w:line="200" w:lineRule="exact"/>
    </w:pPr>
    <w:r>
      <w:rPr>
        <w:noProof/>
      </w:rPr>
      <mc:AlternateContent>
        <mc:Choice Requires="wps">
          <w:drawing>
            <wp:anchor distT="152400" distB="152400" distL="152400" distR="152400" simplePos="0" relativeHeight="251657728" behindDoc="1" locked="0" layoutInCell="1" allowOverlap="1">
              <wp:simplePos x="0" y="0"/>
              <wp:positionH relativeFrom="page">
                <wp:posOffset>6658609</wp:posOffset>
              </wp:positionH>
              <wp:positionV relativeFrom="page">
                <wp:posOffset>10072369</wp:posOffset>
              </wp:positionV>
              <wp:extent cx="206375" cy="164465"/>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206375" cy="164465"/>
                      </a:xfrm>
                      <a:prstGeom prst="rect">
                        <a:avLst/>
                      </a:prstGeom>
                      <a:noFill/>
                      <a:ln w="12700" cap="flat">
                        <a:noFill/>
                        <a:miter lim="400000"/>
                      </a:ln>
                      <a:effectLst/>
                    </wps:spPr>
                    <wps:txbx>
                      <w:txbxContent>
                        <w:p w:rsidR="007841E1" w:rsidRDefault="00C5586E">
                          <w:pPr>
                            <w:pStyle w:val="Body"/>
                            <w:widowControl w:val="0"/>
                            <w:spacing w:line="245" w:lineRule="exact"/>
                            <w:ind w:left="40"/>
                          </w:pPr>
                          <w:r>
                            <w:rPr>
                              <w:rFonts w:ascii="Arial Bold" w:eastAsia="Arial Bold" w:hAnsi="Arial Bold" w:cs="Arial Bold"/>
                            </w:rPr>
                            <w:fldChar w:fldCharType="begin"/>
                          </w:r>
                          <w:r>
                            <w:rPr>
                              <w:rFonts w:ascii="Arial Bold" w:eastAsia="Arial Bold" w:hAnsi="Arial Bold" w:cs="Arial Bold"/>
                            </w:rPr>
                            <w:instrText xml:space="preserve"> PAGE </w:instrText>
                          </w:r>
                          <w:r>
                            <w:rPr>
                              <w:rFonts w:ascii="Arial Bold" w:eastAsia="Arial Bold" w:hAnsi="Arial Bold" w:cs="Arial Bold"/>
                            </w:rPr>
                            <w:fldChar w:fldCharType="separate"/>
                          </w:r>
                          <w:r w:rsidR="00477472">
                            <w:rPr>
                              <w:rFonts w:ascii="Arial Bold" w:eastAsia="Arial Bold" w:hAnsi="Arial Bold" w:cs="Arial Bold"/>
                              <w:noProof/>
                            </w:rPr>
                            <w:t>12</w:t>
                          </w:r>
                          <w:r>
                            <w:rPr>
                              <w:rFonts w:ascii="Arial Bold" w:eastAsia="Arial Bold" w:hAnsi="Arial Bold" w:cs="Arial Bold"/>
                            </w:rPr>
                            <w:fldChar w:fldCharType="end"/>
                          </w:r>
                        </w:p>
                      </w:txbxContent>
                    </wps:txbx>
                    <wps:bodyPr wrap="square" lIns="0" tIns="0" rIns="0" bIns="0" numCol="1" anchor="t">
                      <a:noAutofit/>
                    </wps:bodyPr>
                  </wps:wsp>
                </a:graphicData>
              </a:graphic>
            </wp:anchor>
          </w:drawing>
        </mc:Choice>
        <mc:Fallback>
          <w:pict>
            <v:rect id="_x0000_s1048" style="position:absolute;margin-left:524.3pt;margin-top:793.1pt;width:16.25pt;height:12.95pt;z-index:-2516587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" filled="f" stroked="f" strokeweight="1pt">
              <v:stroke miterlimit="4"/>
              <v:textbox inset="0,0,0,0">
                <w:txbxContent>
                  <w:p w:rsidR="007841E1" w:rsidRDefault="00C5586E">
                    <w:pPr>
                      <w:pStyle w:val="Body"/>
                      <w:widowControl w:val="0"/>
                      <w:spacing w:line="245" w:lineRule="exact"/>
                      <w:ind w:left="40"/>
                    </w:pPr>
                    <w:r>
                      <w:rPr>
                        <w:rFonts w:ascii="Arial Bold" w:eastAsia="Arial Bold" w:hAnsi="Arial Bold" w:cs="Arial Bold"/>
                      </w:rPr>
                      <w:fldChar w:fldCharType="begin"/>
                    </w:r>
                    <w:r>
                      <w:rPr>
                        <w:rFonts w:ascii="Arial Bold" w:eastAsia="Arial Bold" w:hAnsi="Arial Bold" w:cs="Arial Bold"/>
                      </w:rPr>
                      <w:instrText xml:space="preserve"> PAGE </w:instrText>
                    </w:r>
                    <w:r>
                      <w:rPr>
                        <w:rFonts w:ascii="Arial Bold" w:eastAsia="Arial Bold" w:hAnsi="Arial Bold" w:cs="Arial Bold"/>
                      </w:rPr>
                      <w:fldChar w:fldCharType="separate"/>
                    </w:r>
                    <w:r w:rsidR="00477472">
                      <w:rPr>
                        <w:rFonts w:ascii="Arial Bold" w:eastAsia="Arial Bold" w:hAnsi="Arial Bold" w:cs="Arial Bold"/>
                        <w:noProof/>
                      </w:rPr>
                      <w:t>12</w:t>
                    </w:r>
                    <w:r>
                      <w:rPr>
                        <w:rFonts w:ascii="Arial Bold" w:eastAsia="Arial Bold" w:hAnsi="Arial Bold" w:cs="Arial Bold"/>
                      </w:rPr>
                      <w:fldChar w:fldCharType="end"/>
                    </w: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1E1" w:rsidRDefault="00C5586E">
    <w:pPr>
      <w:pStyle w:val="Body"/>
      <w:widowControl w:val="0"/>
      <w:spacing w:line="200" w:lineRule="exact"/>
    </w:pPr>
    <w:r>
      <w:rPr>
        <w:noProof/>
      </w:rPr>
      <mc:AlternateContent>
        <mc:Choice Requires="wps">
          <w:drawing>
            <wp:anchor distT="152400" distB="152400" distL="152400" distR="152400" simplePos="0" relativeHeight="251658752" behindDoc="1" locked="0" layoutInCell="1" allowOverlap="1" wp14:anchorId="2859EEFE" wp14:editId="1D32588C">
              <wp:simplePos x="0" y="0"/>
              <wp:positionH relativeFrom="page">
                <wp:posOffset>6658609</wp:posOffset>
              </wp:positionH>
              <wp:positionV relativeFrom="page">
                <wp:posOffset>10072369</wp:posOffset>
              </wp:positionV>
              <wp:extent cx="206375" cy="164465"/>
              <wp:effectExtent l="0" t="0" r="0" b="0"/>
              <wp:wrapNone/>
              <wp:docPr id="1073741848" name="officeArt object"/>
              <wp:cNvGraphicFramePr/>
              <a:graphic xmlns:a="http://schemas.openxmlformats.org/drawingml/2006/main">
                <a:graphicData uri="http://schemas.microsoft.com/office/word/2010/wordprocessingShape">
                  <wps:wsp>
                    <wps:cNvSpPr/>
                    <wps:spPr>
                      <a:xfrm>
                        <a:off x="0" y="0"/>
                        <a:ext cx="206375" cy="164465"/>
                      </a:xfrm>
                      <a:prstGeom prst="rect">
                        <a:avLst/>
                      </a:prstGeom>
                      <a:noFill/>
                      <a:ln w="12700" cap="flat">
                        <a:noFill/>
                        <a:miter lim="400000"/>
                      </a:ln>
                      <a:effectLst/>
                    </wps:spPr>
                    <wps:txbx>
                      <w:txbxContent>
                        <w:p w:rsidR="007841E1" w:rsidRDefault="00C5586E">
                          <w:pPr>
                            <w:pStyle w:val="Body"/>
                            <w:widowControl w:val="0"/>
                            <w:spacing w:line="245" w:lineRule="exact"/>
                            <w:ind w:left="40"/>
                          </w:pPr>
                          <w:r>
                            <w:rPr>
                              <w:rFonts w:ascii="Arial Bold" w:eastAsia="Arial Bold" w:hAnsi="Arial Bold" w:cs="Arial Bold"/>
                            </w:rPr>
                            <w:fldChar w:fldCharType="begin"/>
                          </w:r>
                          <w:r>
                            <w:rPr>
                              <w:rFonts w:ascii="Arial Bold" w:eastAsia="Arial Bold" w:hAnsi="Arial Bold" w:cs="Arial Bold"/>
                            </w:rPr>
                            <w:instrText xml:space="preserve"> PAGE </w:instrText>
                          </w:r>
                          <w:r>
                            <w:rPr>
                              <w:rFonts w:ascii="Arial Bold" w:eastAsia="Arial Bold" w:hAnsi="Arial Bold" w:cs="Arial Bold"/>
                            </w:rPr>
                            <w:fldChar w:fldCharType="separate"/>
                          </w:r>
                          <w:r w:rsidR="00477472">
                            <w:rPr>
                              <w:rFonts w:ascii="Arial Bold" w:eastAsia="Arial Bold" w:hAnsi="Arial Bold" w:cs="Arial Bold"/>
                              <w:noProof/>
                            </w:rPr>
                            <w:t>16</w:t>
                          </w:r>
                          <w:r>
                            <w:rPr>
                              <w:rFonts w:ascii="Arial Bold" w:eastAsia="Arial Bold" w:hAnsi="Arial Bold" w:cs="Arial Bold"/>
                            </w:rPr>
                            <w:fldChar w:fldCharType="end"/>
                          </w:r>
                        </w:p>
                      </w:txbxContent>
                    </wps:txbx>
                    <wps:bodyPr wrap="square" lIns="0" tIns="0" rIns="0" bIns="0" numCol="1" anchor="t">
                      <a:noAutofit/>
                    </wps:bodyPr>
                  </wps:wsp>
                </a:graphicData>
              </a:graphic>
            </wp:anchor>
          </w:drawing>
        </mc:Choice>
        <mc:Fallback>
          <w:pict>
            <v:rect w14:anchorId="2859EEFE" id="_x0000_s1049" style="position:absolute;margin-left:524.3pt;margin-top:793.1pt;width:16.25pt;height:12.95pt;z-index:-2516577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" filled="f" stroked="f" strokeweight="1pt">
              <v:stroke miterlimit="4"/>
              <v:textbox inset="0,0,0,0">
                <w:txbxContent>
                  <w:p w:rsidR="007841E1" w:rsidRDefault="00C5586E">
                    <w:pPr>
                      <w:pStyle w:val="Body"/>
                      <w:widowControl w:val="0"/>
                      <w:spacing w:line="245" w:lineRule="exact"/>
                      <w:ind w:left="40"/>
                    </w:pPr>
                    <w:r>
                      <w:rPr>
                        <w:rFonts w:ascii="Arial Bold" w:eastAsia="Arial Bold" w:hAnsi="Arial Bold" w:cs="Arial Bold"/>
                      </w:rPr>
                      <w:fldChar w:fldCharType="begin"/>
                    </w:r>
                    <w:r>
                      <w:rPr>
                        <w:rFonts w:ascii="Arial Bold" w:eastAsia="Arial Bold" w:hAnsi="Arial Bold" w:cs="Arial Bold"/>
                      </w:rPr>
                      <w:instrText xml:space="preserve"> PAGE </w:instrText>
                    </w:r>
                    <w:r>
                      <w:rPr>
                        <w:rFonts w:ascii="Arial Bold" w:eastAsia="Arial Bold" w:hAnsi="Arial Bold" w:cs="Arial Bold"/>
                      </w:rPr>
                      <w:fldChar w:fldCharType="separate"/>
                    </w:r>
                    <w:r w:rsidR="00477472">
                      <w:rPr>
                        <w:rFonts w:ascii="Arial Bold" w:eastAsia="Arial Bold" w:hAnsi="Arial Bold" w:cs="Arial Bold"/>
                        <w:noProof/>
                      </w:rPr>
                      <w:t>16</w:t>
                    </w:r>
                    <w:r>
                      <w:rPr>
                        <w:rFonts w:ascii="Arial Bold" w:eastAsia="Arial Bold" w:hAnsi="Arial Bold" w:cs="Arial Bold"/>
                      </w:rPr>
                      <w:fldChar w:fldCharType="end"/>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306D2"/>
    <w:multiLevelType w:val="multilevel"/>
    <w:tmpl w:val="C3CA9DAC"/>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1" w15:restartNumberingAfterBreak="0">
    <w:nsid w:val="04555FDB"/>
    <w:multiLevelType w:val="multilevel"/>
    <w:tmpl w:val="25BC0AFA"/>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2" w15:restartNumberingAfterBreak="0">
    <w:nsid w:val="04795404"/>
    <w:multiLevelType w:val="multilevel"/>
    <w:tmpl w:val="D1926CE4"/>
    <w:lvl w:ilvl="0">
      <w:numFmt w:val="bullet"/>
      <w:lvlText w:val="•"/>
      <w:lvlJc w:val="left"/>
      <w:pPr>
        <w:tabs>
          <w:tab w:val="num" w:pos="317"/>
        </w:tabs>
        <w:ind w:left="317" w:hanging="283"/>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abstractNum>
  <w:abstractNum w:abstractNumId="3" w15:restartNumberingAfterBreak="0">
    <w:nsid w:val="06B915C0"/>
    <w:multiLevelType w:val="multilevel"/>
    <w:tmpl w:val="37D4370A"/>
    <w:styleLink w:val="List15"/>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4" w15:restartNumberingAfterBreak="0">
    <w:nsid w:val="073E0645"/>
    <w:multiLevelType w:val="multilevel"/>
    <w:tmpl w:val="5986CF08"/>
    <w:lvl w:ilvl="0">
      <w:numFmt w:val="bullet"/>
      <w:lvlText w:val="•"/>
      <w:lvlJc w:val="left"/>
      <w:pPr>
        <w:tabs>
          <w:tab w:val="num" w:pos="317"/>
        </w:tabs>
        <w:ind w:left="317" w:hanging="317"/>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abstractNum>
  <w:abstractNum w:abstractNumId="5" w15:restartNumberingAfterBreak="0">
    <w:nsid w:val="09B21787"/>
    <w:multiLevelType w:val="multilevel"/>
    <w:tmpl w:val="7F542EB0"/>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6" w15:restartNumberingAfterBreak="0">
    <w:nsid w:val="0C0842D8"/>
    <w:multiLevelType w:val="hybridMultilevel"/>
    <w:tmpl w:val="32542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6121FE"/>
    <w:multiLevelType w:val="multilevel"/>
    <w:tmpl w:val="6F3A6CFC"/>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8" w15:restartNumberingAfterBreak="0">
    <w:nsid w:val="0CBF2056"/>
    <w:multiLevelType w:val="multilevel"/>
    <w:tmpl w:val="91C490E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9" w15:restartNumberingAfterBreak="0">
    <w:nsid w:val="0F4E5F5C"/>
    <w:multiLevelType w:val="multilevel"/>
    <w:tmpl w:val="211EBC92"/>
    <w:styleLink w:val="List10"/>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10" w15:restartNumberingAfterBreak="0">
    <w:nsid w:val="160563D0"/>
    <w:multiLevelType w:val="multilevel"/>
    <w:tmpl w:val="F75E808E"/>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11" w15:restartNumberingAfterBreak="0">
    <w:nsid w:val="17902065"/>
    <w:multiLevelType w:val="multilevel"/>
    <w:tmpl w:val="F8765D0E"/>
    <w:lvl w:ilvl="0">
      <w:numFmt w:val="bullet"/>
      <w:lvlText w:val="•"/>
      <w:lvlJc w:val="left"/>
      <w:rPr>
        <w:rFonts w:ascii="Arial Bold" w:eastAsia="Arial Bold" w:hAnsi="Arial Bold" w:cs="Arial Bold"/>
        <w:position w:val="0"/>
      </w:rPr>
    </w:lvl>
    <w:lvl w:ilvl="1">
      <w:start w:val="1"/>
      <w:numFmt w:val="bullet"/>
      <w:lvlText w:val="o"/>
      <w:lvlJc w:val="left"/>
      <w:rPr>
        <w:rFonts w:ascii="Arial Bold" w:eastAsia="Arial Bold" w:hAnsi="Arial Bold" w:cs="Arial Bold"/>
        <w:position w:val="0"/>
      </w:rPr>
    </w:lvl>
    <w:lvl w:ilvl="2">
      <w:start w:val="1"/>
      <w:numFmt w:val="bullet"/>
      <w:lvlText w:val="▪"/>
      <w:lvlJc w:val="left"/>
      <w:rPr>
        <w:rFonts w:ascii="Arial Bold" w:eastAsia="Arial Bold" w:hAnsi="Arial Bold" w:cs="Arial Bold"/>
        <w:position w:val="0"/>
      </w:rPr>
    </w:lvl>
    <w:lvl w:ilvl="3">
      <w:start w:val="1"/>
      <w:numFmt w:val="bullet"/>
      <w:lvlText w:val="•"/>
      <w:lvlJc w:val="left"/>
      <w:rPr>
        <w:rFonts w:ascii="Arial Bold" w:eastAsia="Arial Bold" w:hAnsi="Arial Bold" w:cs="Arial Bold"/>
        <w:position w:val="0"/>
      </w:rPr>
    </w:lvl>
    <w:lvl w:ilvl="4">
      <w:start w:val="1"/>
      <w:numFmt w:val="bullet"/>
      <w:lvlText w:val="o"/>
      <w:lvlJc w:val="left"/>
      <w:rPr>
        <w:rFonts w:ascii="Arial Bold" w:eastAsia="Arial Bold" w:hAnsi="Arial Bold" w:cs="Arial Bold"/>
        <w:position w:val="0"/>
      </w:rPr>
    </w:lvl>
    <w:lvl w:ilvl="5">
      <w:start w:val="1"/>
      <w:numFmt w:val="bullet"/>
      <w:lvlText w:val="▪"/>
      <w:lvlJc w:val="left"/>
      <w:rPr>
        <w:rFonts w:ascii="Arial Bold" w:eastAsia="Arial Bold" w:hAnsi="Arial Bold" w:cs="Arial Bold"/>
        <w:position w:val="0"/>
      </w:rPr>
    </w:lvl>
    <w:lvl w:ilvl="6">
      <w:start w:val="1"/>
      <w:numFmt w:val="bullet"/>
      <w:lvlText w:val="•"/>
      <w:lvlJc w:val="left"/>
      <w:rPr>
        <w:rFonts w:ascii="Arial Bold" w:eastAsia="Arial Bold" w:hAnsi="Arial Bold" w:cs="Arial Bold"/>
        <w:position w:val="0"/>
      </w:rPr>
    </w:lvl>
    <w:lvl w:ilvl="7">
      <w:start w:val="1"/>
      <w:numFmt w:val="bullet"/>
      <w:lvlText w:val="o"/>
      <w:lvlJc w:val="left"/>
      <w:rPr>
        <w:rFonts w:ascii="Arial Bold" w:eastAsia="Arial Bold" w:hAnsi="Arial Bold" w:cs="Arial Bold"/>
        <w:position w:val="0"/>
      </w:rPr>
    </w:lvl>
    <w:lvl w:ilvl="8">
      <w:start w:val="1"/>
      <w:numFmt w:val="bullet"/>
      <w:lvlText w:val="▪"/>
      <w:lvlJc w:val="left"/>
      <w:rPr>
        <w:rFonts w:ascii="Arial Bold" w:eastAsia="Arial Bold" w:hAnsi="Arial Bold" w:cs="Arial Bold"/>
        <w:position w:val="0"/>
      </w:rPr>
    </w:lvl>
  </w:abstractNum>
  <w:abstractNum w:abstractNumId="12" w15:restartNumberingAfterBreak="0">
    <w:nsid w:val="17DB74D9"/>
    <w:multiLevelType w:val="multilevel"/>
    <w:tmpl w:val="D1C63DFA"/>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13" w15:restartNumberingAfterBreak="0">
    <w:nsid w:val="1D724361"/>
    <w:multiLevelType w:val="multilevel"/>
    <w:tmpl w:val="51DCD346"/>
    <w:styleLink w:val="List12"/>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14" w15:restartNumberingAfterBreak="0">
    <w:nsid w:val="1E1120BE"/>
    <w:multiLevelType w:val="multilevel"/>
    <w:tmpl w:val="922ADF5C"/>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15" w15:restartNumberingAfterBreak="0">
    <w:nsid w:val="2031251D"/>
    <w:multiLevelType w:val="multilevel"/>
    <w:tmpl w:val="2B14180C"/>
    <w:styleLink w:val="List6"/>
    <w:lvl w:ilvl="0">
      <w:numFmt w:val="bullet"/>
      <w:lvlText w:val="•"/>
      <w:lvlJc w:val="left"/>
      <w:rPr>
        <w:rFonts w:ascii="Arial Bold" w:eastAsia="Arial Bold" w:hAnsi="Arial Bold" w:cs="Arial Bold"/>
        <w:position w:val="0"/>
      </w:rPr>
    </w:lvl>
    <w:lvl w:ilvl="1">
      <w:start w:val="1"/>
      <w:numFmt w:val="bullet"/>
      <w:lvlText w:val="o"/>
      <w:lvlJc w:val="left"/>
      <w:rPr>
        <w:rFonts w:ascii="Arial Bold" w:eastAsia="Arial Bold" w:hAnsi="Arial Bold" w:cs="Arial Bold"/>
        <w:position w:val="0"/>
      </w:rPr>
    </w:lvl>
    <w:lvl w:ilvl="2">
      <w:start w:val="1"/>
      <w:numFmt w:val="bullet"/>
      <w:lvlText w:val="▪"/>
      <w:lvlJc w:val="left"/>
      <w:rPr>
        <w:rFonts w:ascii="Arial Bold" w:eastAsia="Arial Bold" w:hAnsi="Arial Bold" w:cs="Arial Bold"/>
        <w:position w:val="0"/>
      </w:rPr>
    </w:lvl>
    <w:lvl w:ilvl="3">
      <w:start w:val="1"/>
      <w:numFmt w:val="bullet"/>
      <w:lvlText w:val="•"/>
      <w:lvlJc w:val="left"/>
      <w:rPr>
        <w:rFonts w:ascii="Arial Bold" w:eastAsia="Arial Bold" w:hAnsi="Arial Bold" w:cs="Arial Bold"/>
        <w:position w:val="0"/>
      </w:rPr>
    </w:lvl>
    <w:lvl w:ilvl="4">
      <w:start w:val="1"/>
      <w:numFmt w:val="bullet"/>
      <w:lvlText w:val="o"/>
      <w:lvlJc w:val="left"/>
      <w:rPr>
        <w:rFonts w:ascii="Arial Bold" w:eastAsia="Arial Bold" w:hAnsi="Arial Bold" w:cs="Arial Bold"/>
        <w:position w:val="0"/>
      </w:rPr>
    </w:lvl>
    <w:lvl w:ilvl="5">
      <w:start w:val="1"/>
      <w:numFmt w:val="bullet"/>
      <w:lvlText w:val="▪"/>
      <w:lvlJc w:val="left"/>
      <w:rPr>
        <w:rFonts w:ascii="Arial Bold" w:eastAsia="Arial Bold" w:hAnsi="Arial Bold" w:cs="Arial Bold"/>
        <w:position w:val="0"/>
      </w:rPr>
    </w:lvl>
    <w:lvl w:ilvl="6">
      <w:start w:val="1"/>
      <w:numFmt w:val="bullet"/>
      <w:lvlText w:val="•"/>
      <w:lvlJc w:val="left"/>
      <w:rPr>
        <w:rFonts w:ascii="Arial Bold" w:eastAsia="Arial Bold" w:hAnsi="Arial Bold" w:cs="Arial Bold"/>
        <w:position w:val="0"/>
      </w:rPr>
    </w:lvl>
    <w:lvl w:ilvl="7">
      <w:start w:val="1"/>
      <w:numFmt w:val="bullet"/>
      <w:lvlText w:val="o"/>
      <w:lvlJc w:val="left"/>
      <w:rPr>
        <w:rFonts w:ascii="Arial Bold" w:eastAsia="Arial Bold" w:hAnsi="Arial Bold" w:cs="Arial Bold"/>
        <w:position w:val="0"/>
      </w:rPr>
    </w:lvl>
    <w:lvl w:ilvl="8">
      <w:start w:val="1"/>
      <w:numFmt w:val="bullet"/>
      <w:lvlText w:val="▪"/>
      <w:lvlJc w:val="left"/>
      <w:rPr>
        <w:rFonts w:ascii="Arial Bold" w:eastAsia="Arial Bold" w:hAnsi="Arial Bold" w:cs="Arial Bold"/>
        <w:position w:val="0"/>
      </w:rPr>
    </w:lvl>
  </w:abstractNum>
  <w:abstractNum w:abstractNumId="16" w15:restartNumberingAfterBreak="0">
    <w:nsid w:val="206E5A9F"/>
    <w:multiLevelType w:val="multilevel"/>
    <w:tmpl w:val="8DF8E3C4"/>
    <w:styleLink w:val="List13"/>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17" w15:restartNumberingAfterBreak="0">
    <w:nsid w:val="20DE2055"/>
    <w:multiLevelType w:val="multilevel"/>
    <w:tmpl w:val="4AD657FA"/>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18" w15:restartNumberingAfterBreak="0">
    <w:nsid w:val="22FE343B"/>
    <w:multiLevelType w:val="multilevel"/>
    <w:tmpl w:val="DBFA9FEC"/>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9" w15:restartNumberingAfterBreak="0">
    <w:nsid w:val="23744DAD"/>
    <w:multiLevelType w:val="multilevel"/>
    <w:tmpl w:val="78468938"/>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20" w15:restartNumberingAfterBreak="0">
    <w:nsid w:val="242C6386"/>
    <w:multiLevelType w:val="multilevel"/>
    <w:tmpl w:val="A3EC0326"/>
    <w:lvl w:ilvl="0">
      <w:numFmt w:val="bullet"/>
      <w:lvlText w:val="•"/>
      <w:lvlJc w:val="left"/>
      <w:pPr>
        <w:tabs>
          <w:tab w:val="num" w:pos="317"/>
        </w:tabs>
        <w:ind w:left="317" w:hanging="283"/>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abstractNum>
  <w:abstractNum w:abstractNumId="21" w15:restartNumberingAfterBreak="0">
    <w:nsid w:val="273F4DEC"/>
    <w:multiLevelType w:val="multilevel"/>
    <w:tmpl w:val="57B889CE"/>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22" w15:restartNumberingAfterBreak="0">
    <w:nsid w:val="28A16FFA"/>
    <w:multiLevelType w:val="multilevel"/>
    <w:tmpl w:val="11FC51FE"/>
    <w:styleLink w:val="List21"/>
    <w:lvl w:ilvl="0">
      <w:numFmt w:val="bullet"/>
      <w:lvlText w:val="•"/>
      <w:lvlJc w:val="left"/>
      <w:pPr>
        <w:tabs>
          <w:tab w:val="num" w:pos="317"/>
        </w:tabs>
        <w:ind w:left="317" w:hanging="317"/>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abstractNum>
  <w:abstractNum w:abstractNumId="23" w15:restartNumberingAfterBreak="0">
    <w:nsid w:val="2B1575D1"/>
    <w:multiLevelType w:val="multilevel"/>
    <w:tmpl w:val="65BC33D8"/>
    <w:lvl w:ilvl="0">
      <w:numFmt w:val="bullet"/>
      <w:lvlText w:val="•"/>
      <w:lvlJc w:val="left"/>
      <w:rPr>
        <w:rFonts w:ascii="Arial Bold" w:eastAsia="Arial Bold" w:hAnsi="Arial Bold" w:cs="Arial Bold"/>
        <w:position w:val="0"/>
      </w:rPr>
    </w:lvl>
    <w:lvl w:ilvl="1">
      <w:start w:val="1"/>
      <w:numFmt w:val="bullet"/>
      <w:lvlText w:val="o"/>
      <w:lvlJc w:val="left"/>
      <w:rPr>
        <w:rFonts w:ascii="Arial Bold" w:eastAsia="Arial Bold" w:hAnsi="Arial Bold" w:cs="Arial Bold"/>
        <w:position w:val="0"/>
      </w:rPr>
    </w:lvl>
    <w:lvl w:ilvl="2">
      <w:start w:val="1"/>
      <w:numFmt w:val="bullet"/>
      <w:lvlText w:val="▪"/>
      <w:lvlJc w:val="left"/>
      <w:rPr>
        <w:rFonts w:ascii="Arial Bold" w:eastAsia="Arial Bold" w:hAnsi="Arial Bold" w:cs="Arial Bold"/>
        <w:position w:val="0"/>
      </w:rPr>
    </w:lvl>
    <w:lvl w:ilvl="3">
      <w:start w:val="1"/>
      <w:numFmt w:val="bullet"/>
      <w:lvlText w:val="•"/>
      <w:lvlJc w:val="left"/>
      <w:rPr>
        <w:rFonts w:ascii="Arial Bold" w:eastAsia="Arial Bold" w:hAnsi="Arial Bold" w:cs="Arial Bold"/>
        <w:position w:val="0"/>
      </w:rPr>
    </w:lvl>
    <w:lvl w:ilvl="4">
      <w:start w:val="1"/>
      <w:numFmt w:val="bullet"/>
      <w:lvlText w:val="o"/>
      <w:lvlJc w:val="left"/>
      <w:rPr>
        <w:rFonts w:ascii="Arial Bold" w:eastAsia="Arial Bold" w:hAnsi="Arial Bold" w:cs="Arial Bold"/>
        <w:position w:val="0"/>
      </w:rPr>
    </w:lvl>
    <w:lvl w:ilvl="5">
      <w:start w:val="1"/>
      <w:numFmt w:val="bullet"/>
      <w:lvlText w:val="▪"/>
      <w:lvlJc w:val="left"/>
      <w:rPr>
        <w:rFonts w:ascii="Arial Bold" w:eastAsia="Arial Bold" w:hAnsi="Arial Bold" w:cs="Arial Bold"/>
        <w:position w:val="0"/>
      </w:rPr>
    </w:lvl>
    <w:lvl w:ilvl="6">
      <w:start w:val="1"/>
      <w:numFmt w:val="bullet"/>
      <w:lvlText w:val="•"/>
      <w:lvlJc w:val="left"/>
      <w:rPr>
        <w:rFonts w:ascii="Arial Bold" w:eastAsia="Arial Bold" w:hAnsi="Arial Bold" w:cs="Arial Bold"/>
        <w:position w:val="0"/>
      </w:rPr>
    </w:lvl>
    <w:lvl w:ilvl="7">
      <w:start w:val="1"/>
      <w:numFmt w:val="bullet"/>
      <w:lvlText w:val="o"/>
      <w:lvlJc w:val="left"/>
      <w:rPr>
        <w:rFonts w:ascii="Arial Bold" w:eastAsia="Arial Bold" w:hAnsi="Arial Bold" w:cs="Arial Bold"/>
        <w:position w:val="0"/>
      </w:rPr>
    </w:lvl>
    <w:lvl w:ilvl="8">
      <w:start w:val="1"/>
      <w:numFmt w:val="bullet"/>
      <w:lvlText w:val="▪"/>
      <w:lvlJc w:val="left"/>
      <w:rPr>
        <w:rFonts w:ascii="Arial Bold" w:eastAsia="Arial Bold" w:hAnsi="Arial Bold" w:cs="Arial Bold"/>
        <w:position w:val="0"/>
      </w:rPr>
    </w:lvl>
  </w:abstractNum>
  <w:abstractNum w:abstractNumId="24" w15:restartNumberingAfterBreak="0">
    <w:nsid w:val="2B1C7FB2"/>
    <w:multiLevelType w:val="multilevel"/>
    <w:tmpl w:val="3AAE9E52"/>
    <w:styleLink w:val="List51"/>
    <w:lvl w:ilvl="0">
      <w:start w:val="5"/>
      <w:numFmt w:val="decimal"/>
      <w:lvlText w:val="%1."/>
      <w:lvlJc w:val="left"/>
      <w:pPr>
        <w:tabs>
          <w:tab w:val="num" w:pos="1080"/>
        </w:tabs>
        <w:ind w:left="1080" w:hanging="1080"/>
      </w:pPr>
      <w:rPr>
        <w:rFonts w:ascii="Arial Bold" w:eastAsia="Arial Bold" w:hAnsi="Arial Bold" w:cs="Arial Bold"/>
        <w:position w:val="0"/>
        <w:sz w:val="22"/>
        <w:szCs w:val="22"/>
        <w:rtl w:val="0"/>
      </w:rPr>
    </w:lvl>
    <w:lvl w:ilvl="1">
      <w:start w:val="1"/>
      <w:numFmt w:val="lowerLetter"/>
      <w:lvlText w:val="%2."/>
      <w:lvlJc w:val="left"/>
      <w:pPr>
        <w:tabs>
          <w:tab w:val="num" w:pos="1770"/>
        </w:tabs>
        <w:ind w:left="1770" w:hanging="330"/>
      </w:pPr>
      <w:rPr>
        <w:rFonts w:ascii="Arial Bold" w:eastAsia="Arial Bold" w:hAnsi="Arial Bold" w:cs="Arial Bold"/>
        <w:position w:val="0"/>
        <w:sz w:val="22"/>
        <w:szCs w:val="22"/>
        <w:rtl w:val="0"/>
      </w:rPr>
    </w:lvl>
    <w:lvl w:ilvl="2">
      <w:start w:val="1"/>
      <w:numFmt w:val="lowerRoman"/>
      <w:lvlText w:val="%3."/>
      <w:lvlJc w:val="left"/>
      <w:pPr>
        <w:tabs>
          <w:tab w:val="num" w:pos="2495"/>
        </w:tabs>
        <w:ind w:left="2495" w:hanging="271"/>
      </w:pPr>
      <w:rPr>
        <w:rFonts w:ascii="Arial Bold" w:eastAsia="Arial Bold" w:hAnsi="Arial Bold" w:cs="Arial Bold"/>
        <w:position w:val="0"/>
        <w:sz w:val="22"/>
        <w:szCs w:val="22"/>
        <w:rtl w:val="0"/>
      </w:rPr>
    </w:lvl>
    <w:lvl w:ilvl="3">
      <w:start w:val="1"/>
      <w:numFmt w:val="decimal"/>
      <w:lvlText w:val="%4."/>
      <w:lvlJc w:val="left"/>
      <w:pPr>
        <w:tabs>
          <w:tab w:val="num" w:pos="3210"/>
        </w:tabs>
        <w:ind w:left="3210" w:hanging="330"/>
      </w:pPr>
      <w:rPr>
        <w:rFonts w:ascii="Arial Bold" w:eastAsia="Arial Bold" w:hAnsi="Arial Bold" w:cs="Arial Bold"/>
        <w:position w:val="0"/>
        <w:sz w:val="22"/>
        <w:szCs w:val="22"/>
        <w:rtl w:val="0"/>
      </w:rPr>
    </w:lvl>
    <w:lvl w:ilvl="4">
      <w:start w:val="1"/>
      <w:numFmt w:val="lowerLetter"/>
      <w:lvlText w:val="%5."/>
      <w:lvlJc w:val="left"/>
      <w:pPr>
        <w:tabs>
          <w:tab w:val="num" w:pos="3930"/>
        </w:tabs>
        <w:ind w:left="3930" w:hanging="330"/>
      </w:pPr>
      <w:rPr>
        <w:rFonts w:ascii="Arial Bold" w:eastAsia="Arial Bold" w:hAnsi="Arial Bold" w:cs="Arial Bold"/>
        <w:position w:val="0"/>
        <w:sz w:val="22"/>
        <w:szCs w:val="22"/>
        <w:rtl w:val="0"/>
      </w:rPr>
    </w:lvl>
    <w:lvl w:ilvl="5">
      <w:start w:val="1"/>
      <w:numFmt w:val="lowerRoman"/>
      <w:lvlText w:val="%6."/>
      <w:lvlJc w:val="left"/>
      <w:pPr>
        <w:tabs>
          <w:tab w:val="num" w:pos="4655"/>
        </w:tabs>
        <w:ind w:left="4655" w:hanging="271"/>
      </w:pPr>
      <w:rPr>
        <w:rFonts w:ascii="Arial Bold" w:eastAsia="Arial Bold" w:hAnsi="Arial Bold" w:cs="Arial Bold"/>
        <w:position w:val="0"/>
        <w:sz w:val="22"/>
        <w:szCs w:val="22"/>
        <w:rtl w:val="0"/>
      </w:rPr>
    </w:lvl>
    <w:lvl w:ilvl="6">
      <w:start w:val="1"/>
      <w:numFmt w:val="decimal"/>
      <w:lvlText w:val="%7."/>
      <w:lvlJc w:val="left"/>
      <w:pPr>
        <w:tabs>
          <w:tab w:val="num" w:pos="5370"/>
        </w:tabs>
        <w:ind w:left="5370" w:hanging="330"/>
      </w:pPr>
      <w:rPr>
        <w:rFonts w:ascii="Arial Bold" w:eastAsia="Arial Bold" w:hAnsi="Arial Bold" w:cs="Arial Bold"/>
        <w:position w:val="0"/>
        <w:sz w:val="22"/>
        <w:szCs w:val="22"/>
        <w:rtl w:val="0"/>
      </w:rPr>
    </w:lvl>
    <w:lvl w:ilvl="7">
      <w:start w:val="1"/>
      <w:numFmt w:val="lowerLetter"/>
      <w:lvlText w:val="%8."/>
      <w:lvlJc w:val="left"/>
      <w:pPr>
        <w:tabs>
          <w:tab w:val="num" w:pos="6090"/>
        </w:tabs>
        <w:ind w:left="6090" w:hanging="330"/>
      </w:pPr>
      <w:rPr>
        <w:rFonts w:ascii="Arial Bold" w:eastAsia="Arial Bold" w:hAnsi="Arial Bold" w:cs="Arial Bold"/>
        <w:position w:val="0"/>
        <w:sz w:val="22"/>
        <w:szCs w:val="22"/>
        <w:rtl w:val="0"/>
      </w:rPr>
    </w:lvl>
    <w:lvl w:ilvl="8">
      <w:start w:val="1"/>
      <w:numFmt w:val="lowerRoman"/>
      <w:lvlText w:val="%9."/>
      <w:lvlJc w:val="left"/>
      <w:pPr>
        <w:tabs>
          <w:tab w:val="num" w:pos="6815"/>
        </w:tabs>
        <w:ind w:left="6815" w:hanging="271"/>
      </w:pPr>
      <w:rPr>
        <w:rFonts w:ascii="Arial Bold" w:eastAsia="Arial Bold" w:hAnsi="Arial Bold" w:cs="Arial Bold"/>
        <w:position w:val="0"/>
        <w:sz w:val="22"/>
        <w:szCs w:val="22"/>
        <w:rtl w:val="0"/>
      </w:rPr>
    </w:lvl>
  </w:abstractNum>
  <w:abstractNum w:abstractNumId="25" w15:restartNumberingAfterBreak="0">
    <w:nsid w:val="2D5D71E5"/>
    <w:multiLevelType w:val="multilevel"/>
    <w:tmpl w:val="5C12982E"/>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26" w15:restartNumberingAfterBreak="0">
    <w:nsid w:val="2EBA4ACA"/>
    <w:multiLevelType w:val="multilevel"/>
    <w:tmpl w:val="E8CA270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7" w15:restartNumberingAfterBreak="0">
    <w:nsid w:val="34AE36BD"/>
    <w:multiLevelType w:val="multilevel"/>
    <w:tmpl w:val="6C7ADF4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8" w15:restartNumberingAfterBreak="0">
    <w:nsid w:val="34F26A62"/>
    <w:multiLevelType w:val="multilevel"/>
    <w:tmpl w:val="E3E8F12C"/>
    <w:lvl w:ilvl="0">
      <w:numFmt w:val="bullet"/>
      <w:lvlText w:val="•"/>
      <w:lvlJc w:val="left"/>
      <w:pPr>
        <w:tabs>
          <w:tab w:val="num" w:pos="317"/>
        </w:tabs>
        <w:ind w:left="317" w:hanging="317"/>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abstractNum>
  <w:abstractNum w:abstractNumId="29" w15:restartNumberingAfterBreak="0">
    <w:nsid w:val="35A95EFB"/>
    <w:multiLevelType w:val="multilevel"/>
    <w:tmpl w:val="3CEA700A"/>
    <w:lvl w:ilvl="0">
      <w:numFmt w:val="bullet"/>
      <w:lvlText w:val="•"/>
      <w:lvlJc w:val="left"/>
      <w:rPr>
        <w:rFonts w:ascii="Arial Bold" w:eastAsia="Arial Bold" w:hAnsi="Arial Bold" w:cs="Arial Bold"/>
        <w:position w:val="0"/>
      </w:rPr>
    </w:lvl>
    <w:lvl w:ilvl="1">
      <w:start w:val="1"/>
      <w:numFmt w:val="bullet"/>
      <w:lvlText w:val="o"/>
      <w:lvlJc w:val="left"/>
      <w:rPr>
        <w:rFonts w:ascii="Arial Bold" w:eastAsia="Arial Bold" w:hAnsi="Arial Bold" w:cs="Arial Bold"/>
        <w:position w:val="0"/>
      </w:rPr>
    </w:lvl>
    <w:lvl w:ilvl="2">
      <w:start w:val="1"/>
      <w:numFmt w:val="bullet"/>
      <w:lvlText w:val="▪"/>
      <w:lvlJc w:val="left"/>
      <w:rPr>
        <w:rFonts w:ascii="Arial Bold" w:eastAsia="Arial Bold" w:hAnsi="Arial Bold" w:cs="Arial Bold"/>
        <w:position w:val="0"/>
      </w:rPr>
    </w:lvl>
    <w:lvl w:ilvl="3">
      <w:start w:val="1"/>
      <w:numFmt w:val="bullet"/>
      <w:lvlText w:val="•"/>
      <w:lvlJc w:val="left"/>
      <w:rPr>
        <w:rFonts w:ascii="Arial Bold" w:eastAsia="Arial Bold" w:hAnsi="Arial Bold" w:cs="Arial Bold"/>
        <w:position w:val="0"/>
      </w:rPr>
    </w:lvl>
    <w:lvl w:ilvl="4">
      <w:start w:val="1"/>
      <w:numFmt w:val="bullet"/>
      <w:lvlText w:val="o"/>
      <w:lvlJc w:val="left"/>
      <w:rPr>
        <w:rFonts w:ascii="Arial Bold" w:eastAsia="Arial Bold" w:hAnsi="Arial Bold" w:cs="Arial Bold"/>
        <w:position w:val="0"/>
      </w:rPr>
    </w:lvl>
    <w:lvl w:ilvl="5">
      <w:start w:val="1"/>
      <w:numFmt w:val="bullet"/>
      <w:lvlText w:val="▪"/>
      <w:lvlJc w:val="left"/>
      <w:rPr>
        <w:rFonts w:ascii="Arial Bold" w:eastAsia="Arial Bold" w:hAnsi="Arial Bold" w:cs="Arial Bold"/>
        <w:position w:val="0"/>
      </w:rPr>
    </w:lvl>
    <w:lvl w:ilvl="6">
      <w:start w:val="1"/>
      <w:numFmt w:val="bullet"/>
      <w:lvlText w:val="•"/>
      <w:lvlJc w:val="left"/>
      <w:rPr>
        <w:rFonts w:ascii="Arial Bold" w:eastAsia="Arial Bold" w:hAnsi="Arial Bold" w:cs="Arial Bold"/>
        <w:position w:val="0"/>
      </w:rPr>
    </w:lvl>
    <w:lvl w:ilvl="7">
      <w:start w:val="1"/>
      <w:numFmt w:val="bullet"/>
      <w:lvlText w:val="o"/>
      <w:lvlJc w:val="left"/>
      <w:rPr>
        <w:rFonts w:ascii="Arial Bold" w:eastAsia="Arial Bold" w:hAnsi="Arial Bold" w:cs="Arial Bold"/>
        <w:position w:val="0"/>
      </w:rPr>
    </w:lvl>
    <w:lvl w:ilvl="8">
      <w:start w:val="1"/>
      <w:numFmt w:val="bullet"/>
      <w:lvlText w:val="▪"/>
      <w:lvlJc w:val="left"/>
      <w:rPr>
        <w:rFonts w:ascii="Arial Bold" w:eastAsia="Arial Bold" w:hAnsi="Arial Bold" w:cs="Arial Bold"/>
        <w:position w:val="0"/>
      </w:rPr>
    </w:lvl>
  </w:abstractNum>
  <w:abstractNum w:abstractNumId="30" w15:restartNumberingAfterBreak="0">
    <w:nsid w:val="36355DD1"/>
    <w:multiLevelType w:val="multilevel"/>
    <w:tmpl w:val="B9B600E0"/>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31" w15:restartNumberingAfterBreak="0">
    <w:nsid w:val="376E3B24"/>
    <w:multiLevelType w:val="multilevel"/>
    <w:tmpl w:val="4158501A"/>
    <w:lvl w:ilvl="0">
      <w:numFmt w:val="bullet"/>
      <w:lvlText w:val="•"/>
      <w:lvlJc w:val="left"/>
      <w:rPr>
        <w:rFonts w:ascii="Arial Bold" w:eastAsia="Arial Bold" w:hAnsi="Arial Bold" w:cs="Arial Bold"/>
        <w:position w:val="0"/>
      </w:rPr>
    </w:lvl>
    <w:lvl w:ilvl="1">
      <w:start w:val="1"/>
      <w:numFmt w:val="bullet"/>
      <w:lvlText w:val="o"/>
      <w:lvlJc w:val="left"/>
      <w:rPr>
        <w:rFonts w:ascii="Arial Bold" w:eastAsia="Arial Bold" w:hAnsi="Arial Bold" w:cs="Arial Bold"/>
        <w:position w:val="0"/>
      </w:rPr>
    </w:lvl>
    <w:lvl w:ilvl="2">
      <w:start w:val="1"/>
      <w:numFmt w:val="bullet"/>
      <w:lvlText w:val="▪"/>
      <w:lvlJc w:val="left"/>
      <w:rPr>
        <w:rFonts w:ascii="Arial Bold" w:eastAsia="Arial Bold" w:hAnsi="Arial Bold" w:cs="Arial Bold"/>
        <w:position w:val="0"/>
      </w:rPr>
    </w:lvl>
    <w:lvl w:ilvl="3">
      <w:start w:val="1"/>
      <w:numFmt w:val="bullet"/>
      <w:lvlText w:val="•"/>
      <w:lvlJc w:val="left"/>
      <w:rPr>
        <w:rFonts w:ascii="Arial Bold" w:eastAsia="Arial Bold" w:hAnsi="Arial Bold" w:cs="Arial Bold"/>
        <w:position w:val="0"/>
      </w:rPr>
    </w:lvl>
    <w:lvl w:ilvl="4">
      <w:start w:val="1"/>
      <w:numFmt w:val="bullet"/>
      <w:lvlText w:val="o"/>
      <w:lvlJc w:val="left"/>
      <w:rPr>
        <w:rFonts w:ascii="Arial Bold" w:eastAsia="Arial Bold" w:hAnsi="Arial Bold" w:cs="Arial Bold"/>
        <w:position w:val="0"/>
      </w:rPr>
    </w:lvl>
    <w:lvl w:ilvl="5">
      <w:start w:val="1"/>
      <w:numFmt w:val="bullet"/>
      <w:lvlText w:val="▪"/>
      <w:lvlJc w:val="left"/>
      <w:rPr>
        <w:rFonts w:ascii="Arial Bold" w:eastAsia="Arial Bold" w:hAnsi="Arial Bold" w:cs="Arial Bold"/>
        <w:position w:val="0"/>
      </w:rPr>
    </w:lvl>
    <w:lvl w:ilvl="6">
      <w:start w:val="1"/>
      <w:numFmt w:val="bullet"/>
      <w:lvlText w:val="•"/>
      <w:lvlJc w:val="left"/>
      <w:rPr>
        <w:rFonts w:ascii="Arial Bold" w:eastAsia="Arial Bold" w:hAnsi="Arial Bold" w:cs="Arial Bold"/>
        <w:position w:val="0"/>
      </w:rPr>
    </w:lvl>
    <w:lvl w:ilvl="7">
      <w:start w:val="1"/>
      <w:numFmt w:val="bullet"/>
      <w:lvlText w:val="o"/>
      <w:lvlJc w:val="left"/>
      <w:rPr>
        <w:rFonts w:ascii="Arial Bold" w:eastAsia="Arial Bold" w:hAnsi="Arial Bold" w:cs="Arial Bold"/>
        <w:position w:val="0"/>
      </w:rPr>
    </w:lvl>
    <w:lvl w:ilvl="8">
      <w:start w:val="1"/>
      <w:numFmt w:val="bullet"/>
      <w:lvlText w:val="▪"/>
      <w:lvlJc w:val="left"/>
      <w:rPr>
        <w:rFonts w:ascii="Arial Bold" w:eastAsia="Arial Bold" w:hAnsi="Arial Bold" w:cs="Arial Bold"/>
        <w:position w:val="0"/>
      </w:rPr>
    </w:lvl>
  </w:abstractNum>
  <w:abstractNum w:abstractNumId="32" w15:restartNumberingAfterBreak="0">
    <w:nsid w:val="38B47E58"/>
    <w:multiLevelType w:val="multilevel"/>
    <w:tmpl w:val="9F24D602"/>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33" w15:restartNumberingAfterBreak="0">
    <w:nsid w:val="399F3649"/>
    <w:multiLevelType w:val="multilevel"/>
    <w:tmpl w:val="8EF285D2"/>
    <w:styleLink w:val="List1"/>
    <w:lvl w:ilvl="0">
      <w:numFmt w:val="bullet"/>
      <w:lvlText w:val="•"/>
      <w:lvlJc w:val="left"/>
      <w:rPr>
        <w:rFonts w:ascii="Trebuchet MS Bold" w:eastAsia="Trebuchet MS Bold" w:hAnsi="Trebuchet MS Bold" w:cs="Trebuchet MS Bold"/>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4" w15:restartNumberingAfterBreak="0">
    <w:nsid w:val="39D73273"/>
    <w:multiLevelType w:val="multilevel"/>
    <w:tmpl w:val="508429DE"/>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35" w15:restartNumberingAfterBreak="0">
    <w:nsid w:val="3B2A02CC"/>
    <w:multiLevelType w:val="multilevel"/>
    <w:tmpl w:val="FBC69744"/>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36" w15:restartNumberingAfterBreak="0">
    <w:nsid w:val="3D3E2D6A"/>
    <w:multiLevelType w:val="multilevel"/>
    <w:tmpl w:val="D576A3BA"/>
    <w:lvl w:ilvl="0">
      <w:numFmt w:val="bullet"/>
      <w:lvlText w:val="•"/>
      <w:lvlJc w:val="left"/>
      <w:pPr>
        <w:tabs>
          <w:tab w:val="num" w:pos="317"/>
        </w:tabs>
        <w:ind w:left="317" w:hanging="317"/>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abstractNum>
  <w:abstractNum w:abstractNumId="37" w15:restartNumberingAfterBreak="0">
    <w:nsid w:val="3DDC6B0C"/>
    <w:multiLevelType w:val="multilevel"/>
    <w:tmpl w:val="11C88434"/>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38" w15:restartNumberingAfterBreak="0">
    <w:nsid w:val="3E021D72"/>
    <w:multiLevelType w:val="multilevel"/>
    <w:tmpl w:val="9FFC0B8C"/>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39" w15:restartNumberingAfterBreak="0">
    <w:nsid w:val="3ED5298B"/>
    <w:multiLevelType w:val="multilevel"/>
    <w:tmpl w:val="E682B368"/>
    <w:lvl w:ilvl="0">
      <w:numFmt w:val="bullet"/>
      <w:lvlText w:val="•"/>
      <w:lvlJc w:val="left"/>
      <w:rPr>
        <w:rFonts w:ascii="Arial Bold" w:eastAsia="Arial Bold" w:hAnsi="Arial Bold" w:cs="Arial Bold"/>
        <w:position w:val="0"/>
      </w:rPr>
    </w:lvl>
    <w:lvl w:ilvl="1">
      <w:start w:val="1"/>
      <w:numFmt w:val="bullet"/>
      <w:lvlText w:val="o"/>
      <w:lvlJc w:val="left"/>
      <w:rPr>
        <w:rFonts w:ascii="Arial Bold" w:eastAsia="Arial Bold" w:hAnsi="Arial Bold" w:cs="Arial Bold"/>
        <w:position w:val="0"/>
      </w:rPr>
    </w:lvl>
    <w:lvl w:ilvl="2">
      <w:start w:val="1"/>
      <w:numFmt w:val="bullet"/>
      <w:lvlText w:val="▪"/>
      <w:lvlJc w:val="left"/>
      <w:rPr>
        <w:rFonts w:ascii="Arial Bold" w:eastAsia="Arial Bold" w:hAnsi="Arial Bold" w:cs="Arial Bold"/>
        <w:position w:val="0"/>
      </w:rPr>
    </w:lvl>
    <w:lvl w:ilvl="3">
      <w:start w:val="1"/>
      <w:numFmt w:val="bullet"/>
      <w:lvlText w:val="•"/>
      <w:lvlJc w:val="left"/>
      <w:rPr>
        <w:rFonts w:ascii="Arial Bold" w:eastAsia="Arial Bold" w:hAnsi="Arial Bold" w:cs="Arial Bold"/>
        <w:position w:val="0"/>
      </w:rPr>
    </w:lvl>
    <w:lvl w:ilvl="4">
      <w:start w:val="1"/>
      <w:numFmt w:val="bullet"/>
      <w:lvlText w:val="o"/>
      <w:lvlJc w:val="left"/>
      <w:rPr>
        <w:rFonts w:ascii="Arial Bold" w:eastAsia="Arial Bold" w:hAnsi="Arial Bold" w:cs="Arial Bold"/>
        <w:position w:val="0"/>
      </w:rPr>
    </w:lvl>
    <w:lvl w:ilvl="5">
      <w:start w:val="1"/>
      <w:numFmt w:val="bullet"/>
      <w:lvlText w:val="▪"/>
      <w:lvlJc w:val="left"/>
      <w:rPr>
        <w:rFonts w:ascii="Arial Bold" w:eastAsia="Arial Bold" w:hAnsi="Arial Bold" w:cs="Arial Bold"/>
        <w:position w:val="0"/>
      </w:rPr>
    </w:lvl>
    <w:lvl w:ilvl="6">
      <w:start w:val="1"/>
      <w:numFmt w:val="bullet"/>
      <w:lvlText w:val="•"/>
      <w:lvlJc w:val="left"/>
      <w:rPr>
        <w:rFonts w:ascii="Arial Bold" w:eastAsia="Arial Bold" w:hAnsi="Arial Bold" w:cs="Arial Bold"/>
        <w:position w:val="0"/>
      </w:rPr>
    </w:lvl>
    <w:lvl w:ilvl="7">
      <w:start w:val="1"/>
      <w:numFmt w:val="bullet"/>
      <w:lvlText w:val="o"/>
      <w:lvlJc w:val="left"/>
      <w:rPr>
        <w:rFonts w:ascii="Arial Bold" w:eastAsia="Arial Bold" w:hAnsi="Arial Bold" w:cs="Arial Bold"/>
        <w:position w:val="0"/>
      </w:rPr>
    </w:lvl>
    <w:lvl w:ilvl="8">
      <w:start w:val="1"/>
      <w:numFmt w:val="bullet"/>
      <w:lvlText w:val="▪"/>
      <w:lvlJc w:val="left"/>
      <w:rPr>
        <w:rFonts w:ascii="Arial Bold" w:eastAsia="Arial Bold" w:hAnsi="Arial Bold" w:cs="Arial Bold"/>
        <w:position w:val="0"/>
      </w:rPr>
    </w:lvl>
  </w:abstractNum>
  <w:abstractNum w:abstractNumId="40" w15:restartNumberingAfterBreak="0">
    <w:nsid w:val="3F3A4B1D"/>
    <w:multiLevelType w:val="multilevel"/>
    <w:tmpl w:val="C99AB83A"/>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41" w15:restartNumberingAfterBreak="0">
    <w:nsid w:val="417D2B03"/>
    <w:multiLevelType w:val="multilevel"/>
    <w:tmpl w:val="7CE26978"/>
    <w:lvl w:ilvl="0">
      <w:numFmt w:val="bullet"/>
      <w:lvlText w:val="•"/>
      <w:lvlJc w:val="left"/>
      <w:pPr>
        <w:tabs>
          <w:tab w:val="num" w:pos="317"/>
        </w:tabs>
        <w:ind w:left="317" w:hanging="283"/>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abstractNum>
  <w:abstractNum w:abstractNumId="42" w15:restartNumberingAfterBreak="0">
    <w:nsid w:val="41C032A8"/>
    <w:multiLevelType w:val="multilevel"/>
    <w:tmpl w:val="4D5629B0"/>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10"/>
        </w:tabs>
        <w:ind w:left="1410" w:hanging="330"/>
      </w:pPr>
      <w:rPr>
        <w:position w:val="0"/>
        <w:sz w:val="22"/>
        <w:szCs w:val="22"/>
      </w:rPr>
    </w:lvl>
    <w:lvl w:ilvl="2">
      <w:start w:val="1"/>
      <w:numFmt w:val="bullet"/>
      <w:lvlText w:val="▪"/>
      <w:lvlJc w:val="left"/>
      <w:pPr>
        <w:tabs>
          <w:tab w:val="num" w:pos="2130"/>
        </w:tabs>
        <w:ind w:left="2130" w:hanging="33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43" w15:restartNumberingAfterBreak="0">
    <w:nsid w:val="4432053A"/>
    <w:multiLevelType w:val="hybridMultilevel"/>
    <w:tmpl w:val="C890EACA"/>
    <w:lvl w:ilvl="0" w:tplc="1FE6FFB0">
      <w:start w:val="1"/>
      <w:numFmt w:val="lowerRoman"/>
      <w:lvlText w:val="%1)"/>
      <w:lvlJc w:val="left"/>
      <w:pPr>
        <w:ind w:left="1080" w:hanging="720"/>
      </w:pPr>
      <w:rPr>
        <w:rFonts w:ascii="Arial" w:eastAsia="Trebuchet MS Bold"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84B272C"/>
    <w:multiLevelType w:val="multilevel"/>
    <w:tmpl w:val="E00A5E7A"/>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45" w15:restartNumberingAfterBreak="0">
    <w:nsid w:val="49BA18FD"/>
    <w:multiLevelType w:val="multilevel"/>
    <w:tmpl w:val="C0CA80EA"/>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46" w15:restartNumberingAfterBreak="0">
    <w:nsid w:val="4AAD0257"/>
    <w:multiLevelType w:val="multilevel"/>
    <w:tmpl w:val="0AD038BA"/>
    <w:lvl w:ilvl="0">
      <w:numFmt w:val="bullet"/>
      <w:lvlText w:val="•"/>
      <w:lvlJc w:val="left"/>
      <w:pPr>
        <w:tabs>
          <w:tab w:val="num" w:pos="317"/>
        </w:tabs>
        <w:ind w:left="317" w:hanging="317"/>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abstractNum>
  <w:abstractNum w:abstractNumId="47" w15:restartNumberingAfterBreak="0">
    <w:nsid w:val="4B0421F2"/>
    <w:multiLevelType w:val="multilevel"/>
    <w:tmpl w:val="F8D82308"/>
    <w:lvl w:ilvl="0">
      <w:numFmt w:val="bullet"/>
      <w:lvlText w:val="•"/>
      <w:lvlJc w:val="left"/>
      <w:rPr>
        <w:rFonts w:ascii="Arial Bold" w:eastAsia="Arial Bold" w:hAnsi="Arial Bold" w:cs="Arial Bold"/>
        <w:position w:val="0"/>
      </w:rPr>
    </w:lvl>
    <w:lvl w:ilvl="1">
      <w:start w:val="1"/>
      <w:numFmt w:val="bullet"/>
      <w:lvlText w:val="o"/>
      <w:lvlJc w:val="left"/>
      <w:rPr>
        <w:rFonts w:ascii="Arial Bold" w:eastAsia="Arial Bold" w:hAnsi="Arial Bold" w:cs="Arial Bold"/>
        <w:position w:val="0"/>
      </w:rPr>
    </w:lvl>
    <w:lvl w:ilvl="2">
      <w:start w:val="1"/>
      <w:numFmt w:val="bullet"/>
      <w:lvlText w:val="▪"/>
      <w:lvlJc w:val="left"/>
      <w:rPr>
        <w:rFonts w:ascii="Arial Bold" w:eastAsia="Arial Bold" w:hAnsi="Arial Bold" w:cs="Arial Bold"/>
        <w:position w:val="0"/>
      </w:rPr>
    </w:lvl>
    <w:lvl w:ilvl="3">
      <w:start w:val="1"/>
      <w:numFmt w:val="bullet"/>
      <w:lvlText w:val="•"/>
      <w:lvlJc w:val="left"/>
      <w:rPr>
        <w:rFonts w:ascii="Arial Bold" w:eastAsia="Arial Bold" w:hAnsi="Arial Bold" w:cs="Arial Bold"/>
        <w:position w:val="0"/>
      </w:rPr>
    </w:lvl>
    <w:lvl w:ilvl="4">
      <w:start w:val="1"/>
      <w:numFmt w:val="bullet"/>
      <w:lvlText w:val="o"/>
      <w:lvlJc w:val="left"/>
      <w:rPr>
        <w:rFonts w:ascii="Arial Bold" w:eastAsia="Arial Bold" w:hAnsi="Arial Bold" w:cs="Arial Bold"/>
        <w:position w:val="0"/>
      </w:rPr>
    </w:lvl>
    <w:lvl w:ilvl="5">
      <w:start w:val="1"/>
      <w:numFmt w:val="bullet"/>
      <w:lvlText w:val="▪"/>
      <w:lvlJc w:val="left"/>
      <w:rPr>
        <w:rFonts w:ascii="Arial Bold" w:eastAsia="Arial Bold" w:hAnsi="Arial Bold" w:cs="Arial Bold"/>
        <w:position w:val="0"/>
      </w:rPr>
    </w:lvl>
    <w:lvl w:ilvl="6">
      <w:start w:val="1"/>
      <w:numFmt w:val="bullet"/>
      <w:lvlText w:val="•"/>
      <w:lvlJc w:val="left"/>
      <w:rPr>
        <w:rFonts w:ascii="Arial Bold" w:eastAsia="Arial Bold" w:hAnsi="Arial Bold" w:cs="Arial Bold"/>
        <w:position w:val="0"/>
      </w:rPr>
    </w:lvl>
    <w:lvl w:ilvl="7">
      <w:start w:val="1"/>
      <w:numFmt w:val="bullet"/>
      <w:lvlText w:val="o"/>
      <w:lvlJc w:val="left"/>
      <w:rPr>
        <w:rFonts w:ascii="Arial Bold" w:eastAsia="Arial Bold" w:hAnsi="Arial Bold" w:cs="Arial Bold"/>
        <w:position w:val="0"/>
      </w:rPr>
    </w:lvl>
    <w:lvl w:ilvl="8">
      <w:start w:val="1"/>
      <w:numFmt w:val="bullet"/>
      <w:lvlText w:val="▪"/>
      <w:lvlJc w:val="left"/>
      <w:rPr>
        <w:rFonts w:ascii="Arial Bold" w:eastAsia="Arial Bold" w:hAnsi="Arial Bold" w:cs="Arial Bold"/>
        <w:position w:val="0"/>
      </w:rPr>
    </w:lvl>
  </w:abstractNum>
  <w:abstractNum w:abstractNumId="48" w15:restartNumberingAfterBreak="0">
    <w:nsid w:val="4C6B6708"/>
    <w:multiLevelType w:val="multilevel"/>
    <w:tmpl w:val="BB846358"/>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49" w15:restartNumberingAfterBreak="0">
    <w:nsid w:val="4D132A1C"/>
    <w:multiLevelType w:val="multilevel"/>
    <w:tmpl w:val="7756A550"/>
    <w:lvl w:ilvl="0">
      <w:numFmt w:val="bullet"/>
      <w:lvlText w:val="•"/>
      <w:lvlJc w:val="left"/>
      <w:rPr>
        <w:rFonts w:ascii="Arial Bold" w:eastAsia="Arial Bold" w:hAnsi="Arial Bold" w:cs="Arial Bold"/>
        <w:position w:val="0"/>
      </w:rPr>
    </w:lvl>
    <w:lvl w:ilvl="1">
      <w:start w:val="1"/>
      <w:numFmt w:val="bullet"/>
      <w:lvlText w:val="o"/>
      <w:lvlJc w:val="left"/>
      <w:rPr>
        <w:rFonts w:ascii="Arial Bold" w:eastAsia="Arial Bold" w:hAnsi="Arial Bold" w:cs="Arial Bold"/>
        <w:position w:val="0"/>
      </w:rPr>
    </w:lvl>
    <w:lvl w:ilvl="2">
      <w:start w:val="1"/>
      <w:numFmt w:val="bullet"/>
      <w:lvlText w:val="▪"/>
      <w:lvlJc w:val="left"/>
      <w:rPr>
        <w:rFonts w:ascii="Arial Bold" w:eastAsia="Arial Bold" w:hAnsi="Arial Bold" w:cs="Arial Bold"/>
        <w:position w:val="0"/>
      </w:rPr>
    </w:lvl>
    <w:lvl w:ilvl="3">
      <w:start w:val="1"/>
      <w:numFmt w:val="bullet"/>
      <w:lvlText w:val="•"/>
      <w:lvlJc w:val="left"/>
      <w:rPr>
        <w:rFonts w:ascii="Arial Bold" w:eastAsia="Arial Bold" w:hAnsi="Arial Bold" w:cs="Arial Bold"/>
        <w:position w:val="0"/>
      </w:rPr>
    </w:lvl>
    <w:lvl w:ilvl="4">
      <w:start w:val="1"/>
      <w:numFmt w:val="bullet"/>
      <w:lvlText w:val="o"/>
      <w:lvlJc w:val="left"/>
      <w:rPr>
        <w:rFonts w:ascii="Arial Bold" w:eastAsia="Arial Bold" w:hAnsi="Arial Bold" w:cs="Arial Bold"/>
        <w:position w:val="0"/>
      </w:rPr>
    </w:lvl>
    <w:lvl w:ilvl="5">
      <w:start w:val="1"/>
      <w:numFmt w:val="bullet"/>
      <w:lvlText w:val="▪"/>
      <w:lvlJc w:val="left"/>
      <w:rPr>
        <w:rFonts w:ascii="Arial Bold" w:eastAsia="Arial Bold" w:hAnsi="Arial Bold" w:cs="Arial Bold"/>
        <w:position w:val="0"/>
      </w:rPr>
    </w:lvl>
    <w:lvl w:ilvl="6">
      <w:start w:val="1"/>
      <w:numFmt w:val="bullet"/>
      <w:lvlText w:val="•"/>
      <w:lvlJc w:val="left"/>
      <w:rPr>
        <w:rFonts w:ascii="Arial Bold" w:eastAsia="Arial Bold" w:hAnsi="Arial Bold" w:cs="Arial Bold"/>
        <w:position w:val="0"/>
      </w:rPr>
    </w:lvl>
    <w:lvl w:ilvl="7">
      <w:start w:val="1"/>
      <w:numFmt w:val="bullet"/>
      <w:lvlText w:val="o"/>
      <w:lvlJc w:val="left"/>
      <w:rPr>
        <w:rFonts w:ascii="Arial Bold" w:eastAsia="Arial Bold" w:hAnsi="Arial Bold" w:cs="Arial Bold"/>
        <w:position w:val="0"/>
      </w:rPr>
    </w:lvl>
    <w:lvl w:ilvl="8">
      <w:start w:val="1"/>
      <w:numFmt w:val="bullet"/>
      <w:lvlText w:val="▪"/>
      <w:lvlJc w:val="left"/>
      <w:rPr>
        <w:rFonts w:ascii="Arial Bold" w:eastAsia="Arial Bold" w:hAnsi="Arial Bold" w:cs="Arial Bold"/>
        <w:position w:val="0"/>
      </w:rPr>
    </w:lvl>
  </w:abstractNum>
  <w:abstractNum w:abstractNumId="50" w15:restartNumberingAfterBreak="0">
    <w:nsid w:val="4DAB5159"/>
    <w:multiLevelType w:val="multilevel"/>
    <w:tmpl w:val="F7D44222"/>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51" w15:restartNumberingAfterBreak="0">
    <w:nsid w:val="4E107EB1"/>
    <w:multiLevelType w:val="multilevel"/>
    <w:tmpl w:val="2FF8BA46"/>
    <w:styleLink w:val="List8"/>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52" w15:restartNumberingAfterBreak="0">
    <w:nsid w:val="4E317BE2"/>
    <w:multiLevelType w:val="multilevel"/>
    <w:tmpl w:val="CC5CA52C"/>
    <w:styleLink w:val="List9"/>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53" w15:restartNumberingAfterBreak="0">
    <w:nsid w:val="4EA0255C"/>
    <w:multiLevelType w:val="multilevel"/>
    <w:tmpl w:val="C8E211AC"/>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4" w15:restartNumberingAfterBreak="0">
    <w:nsid w:val="50F06032"/>
    <w:multiLevelType w:val="multilevel"/>
    <w:tmpl w:val="3FFAEE66"/>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55" w15:restartNumberingAfterBreak="0">
    <w:nsid w:val="526E050A"/>
    <w:multiLevelType w:val="multilevel"/>
    <w:tmpl w:val="E6C21C86"/>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56" w15:restartNumberingAfterBreak="0">
    <w:nsid w:val="5526488E"/>
    <w:multiLevelType w:val="multilevel"/>
    <w:tmpl w:val="5F5CBD74"/>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57" w15:restartNumberingAfterBreak="0">
    <w:nsid w:val="57F75F59"/>
    <w:multiLevelType w:val="multilevel"/>
    <w:tmpl w:val="4D7CE6AE"/>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58" w15:restartNumberingAfterBreak="0">
    <w:nsid w:val="58771256"/>
    <w:multiLevelType w:val="multilevel"/>
    <w:tmpl w:val="270C4D7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9" w15:restartNumberingAfterBreak="0">
    <w:nsid w:val="598C2007"/>
    <w:multiLevelType w:val="hybridMultilevel"/>
    <w:tmpl w:val="3AE60B4E"/>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60" w15:restartNumberingAfterBreak="0">
    <w:nsid w:val="59B00E9D"/>
    <w:multiLevelType w:val="multilevel"/>
    <w:tmpl w:val="957088B4"/>
    <w:lvl w:ilvl="0">
      <w:numFmt w:val="bullet"/>
      <w:lvlText w:val="•"/>
      <w:lvlJc w:val="left"/>
      <w:pPr>
        <w:tabs>
          <w:tab w:val="num" w:pos="317"/>
        </w:tabs>
        <w:ind w:left="317" w:hanging="317"/>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abstractNum>
  <w:abstractNum w:abstractNumId="61" w15:restartNumberingAfterBreak="0">
    <w:nsid w:val="5B5D519C"/>
    <w:multiLevelType w:val="multilevel"/>
    <w:tmpl w:val="37A4EF14"/>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62" w15:restartNumberingAfterBreak="0">
    <w:nsid w:val="5C2C5127"/>
    <w:multiLevelType w:val="multilevel"/>
    <w:tmpl w:val="1714AE94"/>
    <w:lvl w:ilvl="0">
      <w:numFmt w:val="bullet"/>
      <w:lvlText w:val="•"/>
      <w:lvlJc w:val="left"/>
      <w:pPr>
        <w:tabs>
          <w:tab w:val="num" w:pos="317"/>
        </w:tabs>
        <w:ind w:left="317" w:hanging="317"/>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abstractNum>
  <w:abstractNum w:abstractNumId="63" w15:restartNumberingAfterBreak="0">
    <w:nsid w:val="5D85008B"/>
    <w:multiLevelType w:val="multilevel"/>
    <w:tmpl w:val="23445E24"/>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64" w15:restartNumberingAfterBreak="0">
    <w:nsid w:val="5EA64B7B"/>
    <w:multiLevelType w:val="multilevel"/>
    <w:tmpl w:val="FEE2A84C"/>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5" w15:restartNumberingAfterBreak="0">
    <w:nsid w:val="5ED01239"/>
    <w:multiLevelType w:val="multilevel"/>
    <w:tmpl w:val="981CFCD8"/>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66" w15:restartNumberingAfterBreak="0">
    <w:nsid w:val="5EF10761"/>
    <w:multiLevelType w:val="multilevel"/>
    <w:tmpl w:val="84EE22FE"/>
    <w:lvl w:ilvl="0">
      <w:numFmt w:val="bullet"/>
      <w:lvlText w:val="•"/>
      <w:lvlJc w:val="left"/>
      <w:pPr>
        <w:tabs>
          <w:tab w:val="num" w:pos="317"/>
        </w:tabs>
        <w:ind w:left="317" w:hanging="317"/>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abstractNum>
  <w:abstractNum w:abstractNumId="67" w15:restartNumberingAfterBreak="0">
    <w:nsid w:val="5FF756C5"/>
    <w:multiLevelType w:val="multilevel"/>
    <w:tmpl w:val="2F227866"/>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68" w15:restartNumberingAfterBreak="0">
    <w:nsid w:val="60393FAC"/>
    <w:multiLevelType w:val="multilevel"/>
    <w:tmpl w:val="CDA4B2F6"/>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69" w15:restartNumberingAfterBreak="0">
    <w:nsid w:val="60D87D80"/>
    <w:multiLevelType w:val="multilevel"/>
    <w:tmpl w:val="FC62C38A"/>
    <w:lvl w:ilvl="0">
      <w:numFmt w:val="bullet"/>
      <w:lvlText w:val="•"/>
      <w:lvlJc w:val="left"/>
      <w:pPr>
        <w:tabs>
          <w:tab w:val="num" w:pos="317"/>
        </w:tabs>
        <w:ind w:left="317" w:hanging="317"/>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abstractNum>
  <w:abstractNum w:abstractNumId="70" w15:restartNumberingAfterBreak="0">
    <w:nsid w:val="61262B46"/>
    <w:multiLevelType w:val="multilevel"/>
    <w:tmpl w:val="CF42D7AA"/>
    <w:styleLink w:val="List41"/>
    <w:lvl w:ilvl="0">
      <w:numFmt w:val="bullet"/>
      <w:lvlText w:val="•"/>
      <w:lvlJc w:val="left"/>
      <w:pPr>
        <w:tabs>
          <w:tab w:val="num" w:pos="317"/>
        </w:tabs>
        <w:ind w:left="317" w:hanging="317"/>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abstractNum>
  <w:abstractNum w:abstractNumId="71" w15:restartNumberingAfterBreak="0">
    <w:nsid w:val="63AF7F57"/>
    <w:multiLevelType w:val="multilevel"/>
    <w:tmpl w:val="DF9AAB60"/>
    <w:styleLink w:val="List0"/>
    <w:lvl w:ilvl="0">
      <w:numFmt w:val="bullet"/>
      <w:lvlText w:val="-"/>
      <w:lvlJc w:val="left"/>
      <w:pPr>
        <w:tabs>
          <w:tab w:val="num" w:pos="218"/>
        </w:tabs>
        <w:ind w:left="218" w:hanging="218"/>
      </w:pPr>
      <w:rPr>
        <w:rFonts w:ascii="Arial" w:eastAsia="Arial" w:hAnsi="Arial" w:cs="Arial"/>
        <w:color w:val="FF5F5D"/>
        <w:position w:val="4"/>
      </w:rPr>
    </w:lvl>
    <w:lvl w:ilvl="1">
      <w:start w:val="1"/>
      <w:numFmt w:val="bullet"/>
      <w:lvlText w:val="-"/>
      <w:lvlJc w:val="left"/>
      <w:pPr>
        <w:tabs>
          <w:tab w:val="num" w:pos="502"/>
        </w:tabs>
        <w:ind w:left="502" w:hanging="262"/>
      </w:pPr>
      <w:rPr>
        <w:rFonts w:ascii="Arial" w:eastAsia="Arial" w:hAnsi="Arial" w:cs="Arial"/>
        <w:color w:val="FF5F5D"/>
        <w:position w:val="4"/>
      </w:rPr>
    </w:lvl>
    <w:lvl w:ilvl="2">
      <w:start w:val="1"/>
      <w:numFmt w:val="bullet"/>
      <w:lvlText w:val="-"/>
      <w:lvlJc w:val="left"/>
      <w:pPr>
        <w:tabs>
          <w:tab w:val="num" w:pos="742"/>
        </w:tabs>
        <w:ind w:left="742" w:hanging="262"/>
      </w:pPr>
      <w:rPr>
        <w:rFonts w:ascii="Arial" w:eastAsia="Arial" w:hAnsi="Arial" w:cs="Arial"/>
        <w:color w:val="FF5F5D"/>
        <w:position w:val="4"/>
      </w:rPr>
    </w:lvl>
    <w:lvl w:ilvl="3">
      <w:start w:val="1"/>
      <w:numFmt w:val="bullet"/>
      <w:lvlText w:val="-"/>
      <w:lvlJc w:val="left"/>
      <w:pPr>
        <w:tabs>
          <w:tab w:val="num" w:pos="982"/>
        </w:tabs>
        <w:ind w:left="982" w:hanging="262"/>
      </w:pPr>
      <w:rPr>
        <w:rFonts w:ascii="Arial" w:eastAsia="Arial" w:hAnsi="Arial" w:cs="Arial"/>
        <w:color w:val="FF5F5D"/>
        <w:position w:val="4"/>
      </w:rPr>
    </w:lvl>
    <w:lvl w:ilvl="4">
      <w:start w:val="1"/>
      <w:numFmt w:val="bullet"/>
      <w:lvlText w:val="-"/>
      <w:lvlJc w:val="left"/>
      <w:pPr>
        <w:tabs>
          <w:tab w:val="num" w:pos="1222"/>
        </w:tabs>
        <w:ind w:left="1222" w:hanging="262"/>
      </w:pPr>
      <w:rPr>
        <w:rFonts w:ascii="Arial" w:eastAsia="Arial" w:hAnsi="Arial" w:cs="Arial"/>
        <w:color w:val="FF5F5D"/>
        <w:position w:val="4"/>
      </w:rPr>
    </w:lvl>
    <w:lvl w:ilvl="5">
      <w:start w:val="1"/>
      <w:numFmt w:val="bullet"/>
      <w:lvlText w:val="-"/>
      <w:lvlJc w:val="left"/>
      <w:pPr>
        <w:tabs>
          <w:tab w:val="num" w:pos="1462"/>
        </w:tabs>
        <w:ind w:left="1462" w:hanging="262"/>
      </w:pPr>
      <w:rPr>
        <w:rFonts w:ascii="Arial" w:eastAsia="Arial" w:hAnsi="Arial" w:cs="Arial"/>
        <w:color w:val="FF5F5D"/>
        <w:position w:val="4"/>
      </w:rPr>
    </w:lvl>
    <w:lvl w:ilvl="6">
      <w:start w:val="1"/>
      <w:numFmt w:val="bullet"/>
      <w:lvlText w:val="-"/>
      <w:lvlJc w:val="left"/>
      <w:pPr>
        <w:tabs>
          <w:tab w:val="num" w:pos="1702"/>
        </w:tabs>
        <w:ind w:left="1702" w:hanging="262"/>
      </w:pPr>
      <w:rPr>
        <w:rFonts w:ascii="Arial" w:eastAsia="Arial" w:hAnsi="Arial" w:cs="Arial"/>
        <w:color w:val="FF5F5D"/>
        <w:position w:val="4"/>
      </w:rPr>
    </w:lvl>
    <w:lvl w:ilvl="7">
      <w:start w:val="1"/>
      <w:numFmt w:val="bullet"/>
      <w:lvlText w:val="-"/>
      <w:lvlJc w:val="left"/>
      <w:pPr>
        <w:tabs>
          <w:tab w:val="num" w:pos="1942"/>
        </w:tabs>
        <w:ind w:left="1942" w:hanging="262"/>
      </w:pPr>
      <w:rPr>
        <w:rFonts w:ascii="Arial" w:eastAsia="Arial" w:hAnsi="Arial" w:cs="Arial"/>
        <w:color w:val="FF5F5D"/>
        <w:position w:val="4"/>
      </w:rPr>
    </w:lvl>
    <w:lvl w:ilvl="8">
      <w:start w:val="1"/>
      <w:numFmt w:val="bullet"/>
      <w:lvlText w:val="-"/>
      <w:lvlJc w:val="left"/>
      <w:pPr>
        <w:tabs>
          <w:tab w:val="num" w:pos="2182"/>
        </w:tabs>
        <w:ind w:left="2182" w:hanging="262"/>
      </w:pPr>
      <w:rPr>
        <w:rFonts w:ascii="Arial" w:eastAsia="Arial" w:hAnsi="Arial" w:cs="Arial"/>
        <w:color w:val="FF5F5D"/>
        <w:position w:val="4"/>
      </w:rPr>
    </w:lvl>
  </w:abstractNum>
  <w:abstractNum w:abstractNumId="72" w15:restartNumberingAfterBreak="0">
    <w:nsid w:val="63E93B64"/>
    <w:multiLevelType w:val="multilevel"/>
    <w:tmpl w:val="52923308"/>
    <w:lvl w:ilvl="0">
      <w:numFmt w:val="bullet"/>
      <w:lvlText w:val="•"/>
      <w:lvlJc w:val="left"/>
      <w:pPr>
        <w:tabs>
          <w:tab w:val="num" w:pos="317"/>
        </w:tabs>
        <w:ind w:left="317" w:hanging="283"/>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abstractNum>
  <w:abstractNum w:abstractNumId="73" w15:restartNumberingAfterBreak="0">
    <w:nsid w:val="64B25FA0"/>
    <w:multiLevelType w:val="multilevel"/>
    <w:tmpl w:val="79FE9D62"/>
    <w:styleLink w:val="List14"/>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74" w15:restartNumberingAfterBreak="0">
    <w:nsid w:val="6A4B0B2F"/>
    <w:multiLevelType w:val="multilevel"/>
    <w:tmpl w:val="8298851A"/>
    <w:lvl w:ilvl="0">
      <w:numFmt w:val="bullet"/>
      <w:lvlText w:val="•"/>
      <w:lvlJc w:val="left"/>
      <w:pPr>
        <w:tabs>
          <w:tab w:val="num" w:pos="317"/>
        </w:tabs>
        <w:ind w:left="317" w:hanging="317"/>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abstractNum>
  <w:abstractNum w:abstractNumId="75" w15:restartNumberingAfterBreak="0">
    <w:nsid w:val="6B9512DE"/>
    <w:multiLevelType w:val="multilevel"/>
    <w:tmpl w:val="1AF8F6B8"/>
    <w:lvl w:ilvl="0">
      <w:numFmt w:val="bullet"/>
      <w:lvlText w:val="•"/>
      <w:lvlJc w:val="left"/>
      <w:rPr>
        <w:rFonts w:ascii="Arial Bold" w:eastAsia="Arial Bold" w:hAnsi="Arial Bold" w:cs="Arial Bold"/>
        <w:position w:val="0"/>
      </w:rPr>
    </w:lvl>
    <w:lvl w:ilvl="1">
      <w:start w:val="1"/>
      <w:numFmt w:val="bullet"/>
      <w:lvlText w:val="o"/>
      <w:lvlJc w:val="left"/>
      <w:rPr>
        <w:rFonts w:ascii="Arial Bold" w:eastAsia="Arial Bold" w:hAnsi="Arial Bold" w:cs="Arial Bold"/>
        <w:position w:val="0"/>
      </w:rPr>
    </w:lvl>
    <w:lvl w:ilvl="2">
      <w:start w:val="1"/>
      <w:numFmt w:val="bullet"/>
      <w:lvlText w:val="▪"/>
      <w:lvlJc w:val="left"/>
      <w:rPr>
        <w:rFonts w:ascii="Arial Bold" w:eastAsia="Arial Bold" w:hAnsi="Arial Bold" w:cs="Arial Bold"/>
        <w:position w:val="0"/>
      </w:rPr>
    </w:lvl>
    <w:lvl w:ilvl="3">
      <w:start w:val="1"/>
      <w:numFmt w:val="bullet"/>
      <w:lvlText w:val="•"/>
      <w:lvlJc w:val="left"/>
      <w:rPr>
        <w:rFonts w:ascii="Arial Bold" w:eastAsia="Arial Bold" w:hAnsi="Arial Bold" w:cs="Arial Bold"/>
        <w:position w:val="0"/>
      </w:rPr>
    </w:lvl>
    <w:lvl w:ilvl="4">
      <w:start w:val="1"/>
      <w:numFmt w:val="bullet"/>
      <w:lvlText w:val="o"/>
      <w:lvlJc w:val="left"/>
      <w:rPr>
        <w:rFonts w:ascii="Arial Bold" w:eastAsia="Arial Bold" w:hAnsi="Arial Bold" w:cs="Arial Bold"/>
        <w:position w:val="0"/>
      </w:rPr>
    </w:lvl>
    <w:lvl w:ilvl="5">
      <w:start w:val="1"/>
      <w:numFmt w:val="bullet"/>
      <w:lvlText w:val="▪"/>
      <w:lvlJc w:val="left"/>
      <w:rPr>
        <w:rFonts w:ascii="Arial Bold" w:eastAsia="Arial Bold" w:hAnsi="Arial Bold" w:cs="Arial Bold"/>
        <w:position w:val="0"/>
      </w:rPr>
    </w:lvl>
    <w:lvl w:ilvl="6">
      <w:start w:val="1"/>
      <w:numFmt w:val="bullet"/>
      <w:lvlText w:val="•"/>
      <w:lvlJc w:val="left"/>
      <w:rPr>
        <w:rFonts w:ascii="Arial Bold" w:eastAsia="Arial Bold" w:hAnsi="Arial Bold" w:cs="Arial Bold"/>
        <w:position w:val="0"/>
      </w:rPr>
    </w:lvl>
    <w:lvl w:ilvl="7">
      <w:start w:val="1"/>
      <w:numFmt w:val="bullet"/>
      <w:lvlText w:val="o"/>
      <w:lvlJc w:val="left"/>
      <w:rPr>
        <w:rFonts w:ascii="Arial Bold" w:eastAsia="Arial Bold" w:hAnsi="Arial Bold" w:cs="Arial Bold"/>
        <w:position w:val="0"/>
      </w:rPr>
    </w:lvl>
    <w:lvl w:ilvl="8">
      <w:start w:val="1"/>
      <w:numFmt w:val="bullet"/>
      <w:lvlText w:val="▪"/>
      <w:lvlJc w:val="left"/>
      <w:rPr>
        <w:rFonts w:ascii="Arial Bold" w:eastAsia="Arial Bold" w:hAnsi="Arial Bold" w:cs="Arial Bold"/>
        <w:position w:val="0"/>
      </w:rPr>
    </w:lvl>
  </w:abstractNum>
  <w:abstractNum w:abstractNumId="76" w15:restartNumberingAfterBreak="0">
    <w:nsid w:val="6C471F74"/>
    <w:multiLevelType w:val="multilevel"/>
    <w:tmpl w:val="ACCCAAB0"/>
    <w:styleLink w:val="List31"/>
    <w:lvl w:ilvl="0">
      <w:numFmt w:val="bullet"/>
      <w:lvlText w:val="•"/>
      <w:lvlJc w:val="left"/>
      <w:pPr>
        <w:tabs>
          <w:tab w:val="num" w:pos="317"/>
        </w:tabs>
        <w:ind w:left="317" w:hanging="283"/>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abstractNum>
  <w:abstractNum w:abstractNumId="77" w15:restartNumberingAfterBreak="0">
    <w:nsid w:val="6D756872"/>
    <w:multiLevelType w:val="multilevel"/>
    <w:tmpl w:val="3FAAB418"/>
    <w:lvl w:ilvl="0">
      <w:numFmt w:val="bullet"/>
      <w:lvlText w:val="•"/>
      <w:lvlJc w:val="left"/>
      <w:pPr>
        <w:tabs>
          <w:tab w:val="num" w:pos="317"/>
        </w:tabs>
        <w:ind w:left="317" w:hanging="317"/>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abstractNum>
  <w:abstractNum w:abstractNumId="78" w15:restartNumberingAfterBreak="0">
    <w:nsid w:val="6F2705B3"/>
    <w:multiLevelType w:val="multilevel"/>
    <w:tmpl w:val="A9A240B6"/>
    <w:styleLink w:val="List7"/>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79" w15:restartNumberingAfterBreak="0">
    <w:nsid w:val="6FAE4576"/>
    <w:multiLevelType w:val="multilevel"/>
    <w:tmpl w:val="F81A9126"/>
    <w:lvl w:ilvl="0">
      <w:numFmt w:val="bullet"/>
      <w:lvlText w:val="•"/>
      <w:lvlJc w:val="left"/>
      <w:pPr>
        <w:tabs>
          <w:tab w:val="num" w:pos="317"/>
        </w:tabs>
        <w:ind w:left="317" w:hanging="317"/>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abstractNum>
  <w:abstractNum w:abstractNumId="80" w15:restartNumberingAfterBreak="0">
    <w:nsid w:val="72C06F74"/>
    <w:multiLevelType w:val="multilevel"/>
    <w:tmpl w:val="06D8CF86"/>
    <w:lvl w:ilvl="0">
      <w:numFmt w:val="bullet"/>
      <w:lvlText w:val="•"/>
      <w:lvlJc w:val="left"/>
      <w:pPr>
        <w:tabs>
          <w:tab w:val="num" w:pos="317"/>
        </w:tabs>
        <w:ind w:left="317" w:hanging="317"/>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abstractNum>
  <w:abstractNum w:abstractNumId="81" w15:restartNumberingAfterBreak="0">
    <w:nsid w:val="735F471C"/>
    <w:multiLevelType w:val="multilevel"/>
    <w:tmpl w:val="A06E32EC"/>
    <w:lvl w:ilvl="0">
      <w:numFmt w:val="bullet"/>
      <w:lvlText w:val="•"/>
      <w:lvlJc w:val="left"/>
      <w:pPr>
        <w:tabs>
          <w:tab w:val="num" w:pos="317"/>
        </w:tabs>
        <w:ind w:left="317" w:hanging="317"/>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abstractNum>
  <w:abstractNum w:abstractNumId="82" w15:restartNumberingAfterBreak="0">
    <w:nsid w:val="73F97442"/>
    <w:multiLevelType w:val="multilevel"/>
    <w:tmpl w:val="C8BA0CEC"/>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83" w15:restartNumberingAfterBreak="0">
    <w:nsid w:val="74037495"/>
    <w:multiLevelType w:val="multilevel"/>
    <w:tmpl w:val="6C9CF58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84" w15:restartNumberingAfterBreak="0">
    <w:nsid w:val="773A36F3"/>
    <w:multiLevelType w:val="multilevel"/>
    <w:tmpl w:val="8F46FE34"/>
    <w:styleLink w:val="List11"/>
    <w:lvl w:ilvl="0">
      <w:start w:val="4"/>
      <w:numFmt w:val="decimal"/>
      <w:lvlText w:val="%1."/>
      <w:lvlJc w:val="left"/>
      <w:pPr>
        <w:tabs>
          <w:tab w:val="num" w:pos="360"/>
        </w:tabs>
        <w:ind w:left="360" w:hanging="360"/>
      </w:pPr>
      <w:rPr>
        <w:rFonts w:ascii="Arial Bold" w:eastAsia="Arial Bold" w:hAnsi="Arial Bold" w:cs="Arial Bold"/>
        <w:position w:val="0"/>
        <w:sz w:val="22"/>
        <w:szCs w:val="22"/>
      </w:rPr>
    </w:lvl>
    <w:lvl w:ilvl="1">
      <w:start w:val="1"/>
      <w:numFmt w:val="lowerLetter"/>
      <w:lvlText w:val="%2."/>
      <w:lvlJc w:val="left"/>
      <w:pPr>
        <w:tabs>
          <w:tab w:val="num" w:pos="1410"/>
        </w:tabs>
        <w:ind w:left="1410" w:hanging="330"/>
      </w:pPr>
      <w:rPr>
        <w:rFonts w:ascii="Arial Bold" w:eastAsia="Arial Bold" w:hAnsi="Arial Bold" w:cs="Arial Bold"/>
        <w:position w:val="0"/>
        <w:sz w:val="22"/>
        <w:szCs w:val="22"/>
      </w:rPr>
    </w:lvl>
    <w:lvl w:ilvl="2">
      <w:start w:val="1"/>
      <w:numFmt w:val="lowerRoman"/>
      <w:lvlText w:val="%3."/>
      <w:lvlJc w:val="left"/>
      <w:pPr>
        <w:tabs>
          <w:tab w:val="num" w:pos="2135"/>
        </w:tabs>
        <w:ind w:left="2135" w:hanging="271"/>
      </w:pPr>
      <w:rPr>
        <w:rFonts w:ascii="Arial Bold" w:eastAsia="Arial Bold" w:hAnsi="Arial Bold" w:cs="Arial Bold"/>
        <w:position w:val="0"/>
        <w:sz w:val="22"/>
        <w:szCs w:val="22"/>
      </w:rPr>
    </w:lvl>
    <w:lvl w:ilvl="3">
      <w:start w:val="1"/>
      <w:numFmt w:val="decimal"/>
      <w:lvlText w:val="%4."/>
      <w:lvlJc w:val="left"/>
      <w:pPr>
        <w:tabs>
          <w:tab w:val="num" w:pos="2850"/>
        </w:tabs>
        <w:ind w:left="2850" w:hanging="330"/>
      </w:pPr>
      <w:rPr>
        <w:rFonts w:ascii="Arial Bold" w:eastAsia="Arial Bold" w:hAnsi="Arial Bold" w:cs="Arial Bold"/>
        <w:position w:val="0"/>
        <w:sz w:val="22"/>
        <w:szCs w:val="22"/>
      </w:rPr>
    </w:lvl>
    <w:lvl w:ilvl="4">
      <w:start w:val="1"/>
      <w:numFmt w:val="lowerLetter"/>
      <w:lvlText w:val="%5."/>
      <w:lvlJc w:val="left"/>
      <w:pPr>
        <w:tabs>
          <w:tab w:val="num" w:pos="3570"/>
        </w:tabs>
        <w:ind w:left="3570" w:hanging="330"/>
      </w:pPr>
      <w:rPr>
        <w:rFonts w:ascii="Arial Bold" w:eastAsia="Arial Bold" w:hAnsi="Arial Bold" w:cs="Arial Bold"/>
        <w:position w:val="0"/>
        <w:sz w:val="22"/>
        <w:szCs w:val="22"/>
      </w:rPr>
    </w:lvl>
    <w:lvl w:ilvl="5">
      <w:start w:val="1"/>
      <w:numFmt w:val="lowerRoman"/>
      <w:lvlText w:val="%6."/>
      <w:lvlJc w:val="left"/>
      <w:pPr>
        <w:tabs>
          <w:tab w:val="num" w:pos="4295"/>
        </w:tabs>
        <w:ind w:left="4295" w:hanging="271"/>
      </w:pPr>
      <w:rPr>
        <w:rFonts w:ascii="Arial Bold" w:eastAsia="Arial Bold" w:hAnsi="Arial Bold" w:cs="Arial Bold"/>
        <w:position w:val="0"/>
        <w:sz w:val="22"/>
        <w:szCs w:val="22"/>
      </w:rPr>
    </w:lvl>
    <w:lvl w:ilvl="6">
      <w:start w:val="1"/>
      <w:numFmt w:val="decimal"/>
      <w:lvlText w:val="%7."/>
      <w:lvlJc w:val="left"/>
      <w:pPr>
        <w:tabs>
          <w:tab w:val="num" w:pos="5010"/>
        </w:tabs>
        <w:ind w:left="5010" w:hanging="330"/>
      </w:pPr>
      <w:rPr>
        <w:rFonts w:ascii="Arial Bold" w:eastAsia="Arial Bold" w:hAnsi="Arial Bold" w:cs="Arial Bold"/>
        <w:position w:val="0"/>
        <w:sz w:val="22"/>
        <w:szCs w:val="22"/>
      </w:rPr>
    </w:lvl>
    <w:lvl w:ilvl="7">
      <w:start w:val="1"/>
      <w:numFmt w:val="lowerLetter"/>
      <w:lvlText w:val="%8."/>
      <w:lvlJc w:val="left"/>
      <w:pPr>
        <w:tabs>
          <w:tab w:val="num" w:pos="5730"/>
        </w:tabs>
        <w:ind w:left="5730" w:hanging="330"/>
      </w:pPr>
      <w:rPr>
        <w:rFonts w:ascii="Arial Bold" w:eastAsia="Arial Bold" w:hAnsi="Arial Bold" w:cs="Arial Bold"/>
        <w:position w:val="0"/>
        <w:sz w:val="22"/>
        <w:szCs w:val="22"/>
      </w:rPr>
    </w:lvl>
    <w:lvl w:ilvl="8">
      <w:start w:val="1"/>
      <w:numFmt w:val="lowerRoman"/>
      <w:lvlText w:val="%9."/>
      <w:lvlJc w:val="left"/>
      <w:pPr>
        <w:tabs>
          <w:tab w:val="num" w:pos="6455"/>
        </w:tabs>
        <w:ind w:left="6455" w:hanging="271"/>
      </w:pPr>
      <w:rPr>
        <w:rFonts w:ascii="Arial Bold" w:eastAsia="Arial Bold" w:hAnsi="Arial Bold" w:cs="Arial Bold"/>
        <w:position w:val="0"/>
        <w:sz w:val="22"/>
        <w:szCs w:val="22"/>
      </w:rPr>
    </w:lvl>
  </w:abstractNum>
  <w:abstractNum w:abstractNumId="85" w15:restartNumberingAfterBreak="0">
    <w:nsid w:val="783962EC"/>
    <w:multiLevelType w:val="multilevel"/>
    <w:tmpl w:val="A642E2B8"/>
    <w:lvl w:ilvl="0">
      <w:numFmt w:val="bullet"/>
      <w:lvlText w:val="•"/>
      <w:lvlJc w:val="left"/>
      <w:pPr>
        <w:tabs>
          <w:tab w:val="num" w:pos="317"/>
        </w:tabs>
        <w:ind w:left="317" w:hanging="317"/>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abstractNum>
  <w:abstractNum w:abstractNumId="86" w15:restartNumberingAfterBreak="0">
    <w:nsid w:val="784E16DF"/>
    <w:multiLevelType w:val="multilevel"/>
    <w:tmpl w:val="3F529CAC"/>
    <w:lvl w:ilvl="0">
      <w:numFmt w:val="bullet"/>
      <w:lvlText w:val="•"/>
      <w:lvlJc w:val="left"/>
      <w:pPr>
        <w:tabs>
          <w:tab w:val="num" w:pos="317"/>
        </w:tabs>
        <w:ind w:left="317" w:hanging="317"/>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abstractNum>
  <w:abstractNum w:abstractNumId="87" w15:restartNumberingAfterBreak="0">
    <w:nsid w:val="7D587860"/>
    <w:multiLevelType w:val="multilevel"/>
    <w:tmpl w:val="96967CD8"/>
    <w:lvl w:ilvl="0">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88" w15:restartNumberingAfterBreak="0">
    <w:nsid w:val="7ECE78C0"/>
    <w:multiLevelType w:val="multilevel"/>
    <w:tmpl w:val="79042E4C"/>
    <w:lvl w:ilvl="0">
      <w:numFmt w:val="bullet"/>
      <w:lvlText w:val="•"/>
      <w:lvlJc w:val="left"/>
      <w:pPr>
        <w:tabs>
          <w:tab w:val="num" w:pos="317"/>
        </w:tabs>
        <w:ind w:left="317" w:hanging="317"/>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abstractNum>
  <w:num w:numId="1">
    <w:abstractNumId w:val="71"/>
  </w:num>
  <w:num w:numId="2">
    <w:abstractNumId w:val="42"/>
  </w:num>
  <w:num w:numId="3">
    <w:abstractNumId w:val="64"/>
  </w:num>
  <w:num w:numId="4">
    <w:abstractNumId w:val="83"/>
  </w:num>
  <w:num w:numId="5">
    <w:abstractNumId w:val="8"/>
  </w:num>
  <w:num w:numId="6">
    <w:abstractNumId w:val="18"/>
  </w:num>
  <w:num w:numId="7">
    <w:abstractNumId w:val="58"/>
  </w:num>
  <w:num w:numId="8">
    <w:abstractNumId w:val="53"/>
  </w:num>
  <w:num w:numId="9">
    <w:abstractNumId w:val="26"/>
  </w:num>
  <w:num w:numId="10">
    <w:abstractNumId w:val="7"/>
  </w:num>
  <w:num w:numId="11">
    <w:abstractNumId w:val="27"/>
  </w:num>
  <w:num w:numId="12">
    <w:abstractNumId w:val="33"/>
  </w:num>
  <w:num w:numId="13">
    <w:abstractNumId w:val="85"/>
  </w:num>
  <w:num w:numId="14">
    <w:abstractNumId w:val="28"/>
  </w:num>
  <w:num w:numId="15">
    <w:abstractNumId w:val="74"/>
  </w:num>
  <w:num w:numId="16">
    <w:abstractNumId w:val="69"/>
  </w:num>
  <w:num w:numId="17">
    <w:abstractNumId w:val="41"/>
  </w:num>
  <w:num w:numId="18">
    <w:abstractNumId w:val="86"/>
  </w:num>
  <w:num w:numId="19">
    <w:abstractNumId w:val="77"/>
  </w:num>
  <w:num w:numId="20">
    <w:abstractNumId w:val="46"/>
  </w:num>
  <w:num w:numId="21">
    <w:abstractNumId w:val="66"/>
  </w:num>
  <w:num w:numId="22">
    <w:abstractNumId w:val="62"/>
  </w:num>
  <w:num w:numId="23">
    <w:abstractNumId w:val="4"/>
  </w:num>
  <w:num w:numId="24">
    <w:abstractNumId w:val="79"/>
  </w:num>
  <w:num w:numId="25">
    <w:abstractNumId w:val="88"/>
  </w:num>
  <w:num w:numId="26">
    <w:abstractNumId w:val="36"/>
  </w:num>
  <w:num w:numId="27">
    <w:abstractNumId w:val="60"/>
  </w:num>
  <w:num w:numId="28">
    <w:abstractNumId w:val="72"/>
  </w:num>
  <w:num w:numId="29">
    <w:abstractNumId w:val="20"/>
  </w:num>
  <w:num w:numId="30">
    <w:abstractNumId w:val="2"/>
  </w:num>
  <w:num w:numId="31">
    <w:abstractNumId w:val="81"/>
  </w:num>
  <w:num w:numId="32">
    <w:abstractNumId w:val="80"/>
  </w:num>
  <w:num w:numId="33">
    <w:abstractNumId w:val="70"/>
  </w:num>
  <w:num w:numId="34">
    <w:abstractNumId w:val="22"/>
  </w:num>
  <w:num w:numId="35">
    <w:abstractNumId w:val="76"/>
  </w:num>
  <w:num w:numId="36">
    <w:abstractNumId w:val="24"/>
  </w:num>
  <w:num w:numId="37">
    <w:abstractNumId w:val="75"/>
  </w:num>
  <w:num w:numId="38">
    <w:abstractNumId w:val="47"/>
  </w:num>
  <w:num w:numId="39">
    <w:abstractNumId w:val="31"/>
  </w:num>
  <w:num w:numId="40">
    <w:abstractNumId w:val="29"/>
  </w:num>
  <w:num w:numId="41">
    <w:abstractNumId w:val="49"/>
  </w:num>
  <w:num w:numId="42">
    <w:abstractNumId w:val="39"/>
  </w:num>
  <w:num w:numId="43">
    <w:abstractNumId w:val="11"/>
  </w:num>
  <w:num w:numId="44">
    <w:abstractNumId w:val="23"/>
  </w:num>
  <w:num w:numId="45">
    <w:abstractNumId w:val="15"/>
  </w:num>
  <w:num w:numId="46">
    <w:abstractNumId w:val="61"/>
  </w:num>
  <w:num w:numId="47">
    <w:abstractNumId w:val="40"/>
  </w:num>
  <w:num w:numId="48">
    <w:abstractNumId w:val="17"/>
  </w:num>
  <w:num w:numId="49">
    <w:abstractNumId w:val="45"/>
  </w:num>
  <w:num w:numId="50">
    <w:abstractNumId w:val="87"/>
  </w:num>
  <w:num w:numId="51">
    <w:abstractNumId w:val="78"/>
  </w:num>
  <w:num w:numId="52">
    <w:abstractNumId w:val="10"/>
  </w:num>
  <w:num w:numId="53">
    <w:abstractNumId w:val="30"/>
  </w:num>
  <w:num w:numId="54">
    <w:abstractNumId w:val="5"/>
  </w:num>
  <w:num w:numId="55">
    <w:abstractNumId w:val="51"/>
  </w:num>
  <w:num w:numId="56">
    <w:abstractNumId w:val="68"/>
  </w:num>
  <w:num w:numId="57">
    <w:abstractNumId w:val="14"/>
  </w:num>
  <w:num w:numId="58">
    <w:abstractNumId w:val="32"/>
  </w:num>
  <w:num w:numId="59">
    <w:abstractNumId w:val="50"/>
  </w:num>
  <w:num w:numId="60">
    <w:abstractNumId w:val="34"/>
  </w:num>
  <w:num w:numId="61">
    <w:abstractNumId w:val="52"/>
  </w:num>
  <w:num w:numId="62">
    <w:abstractNumId w:val="57"/>
  </w:num>
  <w:num w:numId="63">
    <w:abstractNumId w:val="9"/>
  </w:num>
  <w:num w:numId="64">
    <w:abstractNumId w:val="84"/>
  </w:num>
  <w:num w:numId="65">
    <w:abstractNumId w:val="35"/>
  </w:num>
  <w:num w:numId="66">
    <w:abstractNumId w:val="54"/>
  </w:num>
  <w:num w:numId="67">
    <w:abstractNumId w:val="38"/>
  </w:num>
  <w:num w:numId="68">
    <w:abstractNumId w:val="21"/>
  </w:num>
  <w:num w:numId="69">
    <w:abstractNumId w:val="13"/>
  </w:num>
  <w:num w:numId="70">
    <w:abstractNumId w:val="1"/>
  </w:num>
  <w:num w:numId="71">
    <w:abstractNumId w:val="25"/>
  </w:num>
  <w:num w:numId="72">
    <w:abstractNumId w:val="65"/>
  </w:num>
  <w:num w:numId="73">
    <w:abstractNumId w:val="56"/>
  </w:num>
  <w:num w:numId="74">
    <w:abstractNumId w:val="55"/>
  </w:num>
  <w:num w:numId="75">
    <w:abstractNumId w:val="67"/>
  </w:num>
  <w:num w:numId="76">
    <w:abstractNumId w:val="37"/>
  </w:num>
  <w:num w:numId="77">
    <w:abstractNumId w:val="16"/>
  </w:num>
  <w:num w:numId="78">
    <w:abstractNumId w:val="48"/>
  </w:num>
  <w:num w:numId="79">
    <w:abstractNumId w:val="63"/>
  </w:num>
  <w:num w:numId="80">
    <w:abstractNumId w:val="82"/>
  </w:num>
  <w:num w:numId="81">
    <w:abstractNumId w:val="12"/>
  </w:num>
  <w:num w:numId="82">
    <w:abstractNumId w:val="0"/>
  </w:num>
  <w:num w:numId="83">
    <w:abstractNumId w:val="19"/>
  </w:num>
  <w:num w:numId="84">
    <w:abstractNumId w:val="73"/>
  </w:num>
  <w:num w:numId="85">
    <w:abstractNumId w:val="44"/>
  </w:num>
  <w:num w:numId="86">
    <w:abstractNumId w:val="3"/>
  </w:num>
  <w:num w:numId="87">
    <w:abstractNumId w:val="6"/>
  </w:num>
  <w:num w:numId="88">
    <w:abstractNumId w:val="43"/>
  </w:num>
  <w:num w:numId="89">
    <w:abstractNumId w:val="5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1E1"/>
    <w:rsid w:val="0000128B"/>
    <w:rsid w:val="000C3A86"/>
    <w:rsid w:val="000F7B81"/>
    <w:rsid w:val="00195F29"/>
    <w:rsid w:val="001B51B1"/>
    <w:rsid w:val="002A4288"/>
    <w:rsid w:val="0032489E"/>
    <w:rsid w:val="0036024C"/>
    <w:rsid w:val="003B0C84"/>
    <w:rsid w:val="003B7F1F"/>
    <w:rsid w:val="00477472"/>
    <w:rsid w:val="004A1F8B"/>
    <w:rsid w:val="004D4A26"/>
    <w:rsid w:val="0050039B"/>
    <w:rsid w:val="005B7B2A"/>
    <w:rsid w:val="005C41A1"/>
    <w:rsid w:val="006D24FE"/>
    <w:rsid w:val="0070024A"/>
    <w:rsid w:val="00703167"/>
    <w:rsid w:val="00753170"/>
    <w:rsid w:val="007841E1"/>
    <w:rsid w:val="00945D7E"/>
    <w:rsid w:val="00A00B33"/>
    <w:rsid w:val="00A51106"/>
    <w:rsid w:val="00AB659B"/>
    <w:rsid w:val="00BC3AFD"/>
    <w:rsid w:val="00BC7B3B"/>
    <w:rsid w:val="00C5586E"/>
    <w:rsid w:val="00CA5A8B"/>
    <w:rsid w:val="00CB61B3"/>
    <w:rsid w:val="00CC7B6A"/>
    <w:rsid w:val="00D63434"/>
    <w:rsid w:val="00D636F5"/>
    <w:rsid w:val="00FE7A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2F8315-7BFC-4044-AD26-8CEC7F137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Arial" w:hAnsi="Arial Unicode MS" w:cs="Arial Unicode MS"/>
      <w:color w:val="000000"/>
      <w:u w:color="000000"/>
    </w:rPr>
  </w:style>
  <w:style w:type="paragraph" w:styleId="Footer">
    <w:name w:val="footer"/>
    <w:pPr>
      <w:tabs>
        <w:tab w:val="center" w:pos="4153"/>
        <w:tab w:val="right" w:pos="8306"/>
      </w:tabs>
    </w:pPr>
    <w:rPr>
      <w:rFonts w:ascii="Arial" w:hAnsi="Arial Unicode MS" w:cs="Arial Unicode MS"/>
      <w:color w:val="000000"/>
      <w:u w:color="000000"/>
      <w:lang w:val="en-US"/>
    </w:rPr>
  </w:style>
  <w:style w:type="paragraph" w:customStyle="1" w:styleId="Default">
    <w:name w:val="Default"/>
    <w:rPr>
      <w:rFonts w:ascii="Georgia" w:hAnsi="Arial Unicode MS" w:cs="Arial Unicode MS"/>
      <w:color w:val="000000"/>
      <w:sz w:val="24"/>
      <w:szCs w:val="24"/>
      <w:u w:color="000000"/>
      <w:lang w:val="en-US"/>
    </w:rPr>
  </w:style>
  <w:style w:type="numbering" w:customStyle="1" w:styleId="List0">
    <w:name w:val="List 0"/>
    <w:basedOn w:val="Dash"/>
    <w:pPr>
      <w:numPr>
        <w:numId w:val="1"/>
      </w:numPr>
    </w:pPr>
  </w:style>
  <w:style w:type="numbering" w:customStyle="1" w:styleId="Dash">
    <w:name w:val="Dash"/>
  </w:style>
  <w:style w:type="paragraph" w:customStyle="1" w:styleId="BodyA">
    <w:name w:val="Body A"/>
    <w:rPr>
      <w:rFonts w:hAnsi="Arial Unicode MS" w:cs="Arial Unicode MS"/>
      <w:color w:val="000000"/>
      <w:sz w:val="24"/>
      <w:szCs w:val="24"/>
      <w:u w:color="000000"/>
      <w:lang w:val="en-US"/>
    </w:rPr>
  </w:style>
  <w:style w:type="paragraph" w:styleId="ListParagraph">
    <w:name w:val="List Paragraph"/>
    <w:pPr>
      <w:spacing w:after="200" w:line="276" w:lineRule="auto"/>
      <w:ind w:left="720"/>
    </w:pPr>
    <w:rPr>
      <w:rFonts w:ascii="Calibri" w:eastAsia="Calibri" w:hAnsi="Calibri" w:cs="Calibri"/>
      <w:color w:val="000000"/>
      <w:sz w:val="22"/>
      <w:szCs w:val="22"/>
      <w:u w:color="000000"/>
      <w:lang w:val="en-US"/>
    </w:rPr>
  </w:style>
  <w:style w:type="numbering" w:customStyle="1" w:styleId="List1">
    <w:name w:val="List 1"/>
    <w:basedOn w:val="ImportedStyle1"/>
    <w:pPr>
      <w:numPr>
        <w:numId w:val="12"/>
      </w:numPr>
    </w:pPr>
  </w:style>
  <w:style w:type="numbering" w:customStyle="1" w:styleId="ImportedStyle1">
    <w:name w:val="Imported Style 1"/>
  </w:style>
  <w:style w:type="numbering" w:customStyle="1" w:styleId="List21">
    <w:name w:val="List 21"/>
    <w:basedOn w:val="ImportedStyle10"/>
    <w:pPr>
      <w:numPr>
        <w:numId w:val="34"/>
      </w:numPr>
    </w:pPr>
  </w:style>
  <w:style w:type="numbering" w:customStyle="1" w:styleId="ImportedStyle10">
    <w:name w:val="Imported Style 1.0"/>
  </w:style>
  <w:style w:type="numbering" w:customStyle="1" w:styleId="List31">
    <w:name w:val="List 31"/>
    <w:basedOn w:val="ImportedStyle11"/>
    <w:pPr>
      <w:numPr>
        <w:numId w:val="35"/>
      </w:numPr>
    </w:pPr>
  </w:style>
  <w:style w:type="numbering" w:customStyle="1" w:styleId="ImportedStyle11">
    <w:name w:val="Imported Style 1.1"/>
  </w:style>
  <w:style w:type="numbering" w:customStyle="1" w:styleId="List41">
    <w:name w:val="List 41"/>
    <w:basedOn w:val="ImportedStyle12"/>
    <w:pPr>
      <w:numPr>
        <w:numId w:val="33"/>
      </w:numPr>
    </w:pPr>
  </w:style>
  <w:style w:type="numbering" w:customStyle="1" w:styleId="ImportedStyle12">
    <w:name w:val="Imported Style 1.2"/>
  </w:style>
  <w:style w:type="numbering" w:customStyle="1" w:styleId="List51">
    <w:name w:val="List 51"/>
    <w:basedOn w:val="ImportedStyle2"/>
    <w:pPr>
      <w:numPr>
        <w:numId w:val="36"/>
      </w:numPr>
    </w:pPr>
  </w:style>
  <w:style w:type="numbering" w:customStyle="1" w:styleId="ImportedStyle2">
    <w:name w:val="Imported Style 2"/>
  </w:style>
  <w:style w:type="paragraph" w:styleId="FootnoteText">
    <w:name w:val="footnote text"/>
    <w:pPr>
      <w:spacing w:after="200"/>
    </w:pPr>
    <w:rPr>
      <w:rFonts w:ascii="Arial" w:eastAsia="Arial" w:hAnsi="Arial" w:cs="Arial"/>
      <w:color w:val="000000"/>
      <w:u w:color="000000"/>
      <w:lang w:val="en-US"/>
    </w:rPr>
  </w:style>
  <w:style w:type="numbering" w:customStyle="1" w:styleId="List6">
    <w:name w:val="List 6"/>
    <w:basedOn w:val="ImportedStyle3"/>
    <w:pPr>
      <w:numPr>
        <w:numId w:val="45"/>
      </w:numPr>
    </w:pPr>
  </w:style>
  <w:style w:type="numbering" w:customStyle="1" w:styleId="ImportedStyle3">
    <w:name w:val="Imported Style 3"/>
  </w:style>
  <w:style w:type="numbering" w:customStyle="1" w:styleId="List7">
    <w:name w:val="List 7"/>
    <w:basedOn w:val="ImportedStyle4"/>
    <w:pPr>
      <w:numPr>
        <w:numId w:val="51"/>
      </w:numPr>
    </w:pPr>
  </w:style>
  <w:style w:type="numbering" w:customStyle="1" w:styleId="ImportedStyle4">
    <w:name w:val="Imported Style 4"/>
  </w:style>
  <w:style w:type="numbering" w:customStyle="1" w:styleId="List8">
    <w:name w:val="List 8"/>
    <w:basedOn w:val="ImportedStyle5"/>
    <w:pPr>
      <w:numPr>
        <w:numId w:val="55"/>
      </w:numPr>
    </w:pPr>
  </w:style>
  <w:style w:type="numbering" w:customStyle="1" w:styleId="ImportedStyle5">
    <w:name w:val="Imported Style 5"/>
  </w:style>
  <w:style w:type="numbering" w:customStyle="1" w:styleId="List9">
    <w:name w:val="List 9"/>
    <w:basedOn w:val="ImportedStyle6"/>
    <w:pPr>
      <w:numPr>
        <w:numId w:val="61"/>
      </w:numPr>
    </w:pPr>
  </w:style>
  <w:style w:type="numbering" w:customStyle="1" w:styleId="ImportedStyle6">
    <w:name w:val="Imported Style 6"/>
  </w:style>
  <w:style w:type="numbering" w:customStyle="1" w:styleId="List10">
    <w:name w:val="List 10"/>
    <w:basedOn w:val="ImportedStyle7"/>
    <w:pPr>
      <w:numPr>
        <w:numId w:val="63"/>
      </w:numPr>
    </w:pPr>
  </w:style>
  <w:style w:type="numbering" w:customStyle="1" w:styleId="ImportedStyle7">
    <w:name w:val="Imported Style 7"/>
  </w:style>
  <w:style w:type="numbering" w:customStyle="1" w:styleId="List11">
    <w:name w:val="List 11"/>
    <w:basedOn w:val="ImportedStyle8"/>
    <w:pPr>
      <w:numPr>
        <w:numId w:val="64"/>
      </w:numPr>
    </w:pPr>
  </w:style>
  <w:style w:type="numbering" w:customStyle="1" w:styleId="ImportedStyle8">
    <w:name w:val="Imported Style 8"/>
  </w:style>
  <w:style w:type="numbering" w:customStyle="1" w:styleId="List12">
    <w:name w:val="List 12"/>
    <w:basedOn w:val="ImportedStyle9"/>
    <w:pPr>
      <w:numPr>
        <w:numId w:val="69"/>
      </w:numPr>
    </w:pPr>
  </w:style>
  <w:style w:type="numbering" w:customStyle="1" w:styleId="ImportedStyle9">
    <w:name w:val="Imported Style 9"/>
  </w:style>
  <w:style w:type="numbering" w:customStyle="1" w:styleId="List13">
    <w:name w:val="List 13"/>
    <w:basedOn w:val="ImportedStyle100"/>
    <w:pPr>
      <w:numPr>
        <w:numId w:val="77"/>
      </w:numPr>
    </w:pPr>
  </w:style>
  <w:style w:type="numbering" w:customStyle="1" w:styleId="ImportedStyle100">
    <w:name w:val="Imported Style 10"/>
  </w:style>
  <w:style w:type="numbering" w:customStyle="1" w:styleId="List14">
    <w:name w:val="List 14"/>
    <w:basedOn w:val="ImportedStyle110"/>
    <w:pPr>
      <w:numPr>
        <w:numId w:val="84"/>
      </w:numPr>
    </w:pPr>
  </w:style>
  <w:style w:type="numbering" w:customStyle="1" w:styleId="ImportedStyle110">
    <w:name w:val="Imported Style 11"/>
  </w:style>
  <w:style w:type="numbering" w:customStyle="1" w:styleId="List15">
    <w:name w:val="List 15"/>
    <w:basedOn w:val="ImportedStyle120"/>
    <w:pPr>
      <w:numPr>
        <w:numId w:val="86"/>
      </w:numPr>
    </w:pPr>
  </w:style>
  <w:style w:type="numbering" w:customStyle="1" w:styleId="ImportedStyle120">
    <w:name w:val="Imported Style 12"/>
  </w:style>
  <w:style w:type="table" w:styleId="TableGrid">
    <w:name w:val="Table Grid"/>
    <w:basedOn w:val="TableNormal"/>
    <w:rsid w:val="002A4288"/>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42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4288"/>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62207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cid:image003.jpg@01D1A543.CFDDDA70"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5000</Words>
  <Characters>28505</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Shearer</dc:creator>
  <cp:lastModifiedBy>Louise Dingwall</cp:lastModifiedBy>
  <cp:revision>4</cp:revision>
  <cp:lastPrinted>2016-05-06T12:52:00Z</cp:lastPrinted>
  <dcterms:created xsi:type="dcterms:W3CDTF">2016-05-12T13:51:00Z</dcterms:created>
  <dcterms:modified xsi:type="dcterms:W3CDTF">2016-05-12T13:52:00Z</dcterms:modified>
</cp:coreProperties>
</file>